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EF" w:rsidRPr="00976E28" w:rsidRDefault="00B91161" w:rsidP="00D81756">
      <w:pPr>
        <w:spacing w:line="300" w:lineRule="exact"/>
        <w:jc w:val="center"/>
        <w:rPr>
          <w:rFonts w:ascii="Times New Roman" w:hAnsi="Times New Roman" w:cs="Times New Roman"/>
          <w:b/>
          <w:spacing w:val="4"/>
          <w:sz w:val="22"/>
          <w:szCs w:val="22"/>
        </w:rPr>
      </w:pPr>
      <w:r>
        <w:rPr>
          <w:rFonts w:ascii="Times New Roman" w:hAnsi="Times New Roman" w:cs="Times New Roman"/>
          <w:b/>
          <w:spacing w:val="4"/>
          <w:sz w:val="22"/>
          <w:szCs w:val="22"/>
        </w:rPr>
        <w:t>SECCIÓN IV</w:t>
      </w:r>
    </w:p>
    <w:p w:rsidR="00355FEF" w:rsidRPr="00B4363A" w:rsidRDefault="00355FEF" w:rsidP="00940117">
      <w:pPr>
        <w:spacing w:line="300" w:lineRule="exact"/>
        <w:jc w:val="center"/>
        <w:rPr>
          <w:rFonts w:ascii="Times New Roman" w:hAnsi="Times New Roman" w:cs="Times New Roman"/>
          <w:b/>
          <w:spacing w:val="4"/>
          <w:szCs w:val="20"/>
        </w:rPr>
      </w:pPr>
    </w:p>
    <w:p w:rsidR="00976E28" w:rsidRPr="00EB0680" w:rsidRDefault="00355FEF" w:rsidP="00940117">
      <w:pPr>
        <w:spacing w:line="300" w:lineRule="exact"/>
        <w:jc w:val="center"/>
        <w:rPr>
          <w:rFonts w:ascii="Times New Roman" w:hAnsi="Times New Roman" w:cs="Times New Roman"/>
          <w:b/>
          <w:spacing w:val="4"/>
          <w:sz w:val="22"/>
          <w:szCs w:val="22"/>
        </w:rPr>
      </w:pPr>
      <w:r w:rsidRPr="00EB0680">
        <w:rPr>
          <w:rFonts w:ascii="Times New Roman" w:hAnsi="Times New Roman" w:cs="Times New Roman"/>
          <w:b/>
          <w:spacing w:val="4"/>
          <w:sz w:val="22"/>
          <w:szCs w:val="22"/>
        </w:rPr>
        <w:t>MÉTODO</w:t>
      </w:r>
      <w:r w:rsidR="006D682D" w:rsidRPr="00EB0680">
        <w:rPr>
          <w:rFonts w:ascii="Times New Roman" w:hAnsi="Times New Roman" w:cs="Times New Roman"/>
          <w:b/>
          <w:spacing w:val="4"/>
          <w:sz w:val="22"/>
          <w:szCs w:val="22"/>
        </w:rPr>
        <w:t>S</w:t>
      </w:r>
      <w:r w:rsidRPr="00EB0680">
        <w:rPr>
          <w:rFonts w:ascii="Times New Roman" w:hAnsi="Times New Roman" w:cs="Times New Roman"/>
          <w:b/>
          <w:spacing w:val="4"/>
          <w:sz w:val="22"/>
          <w:szCs w:val="22"/>
        </w:rPr>
        <w:t xml:space="preserve"> DE CORRECCIÓN MONETARIA A</w:t>
      </w:r>
    </w:p>
    <w:p w:rsidR="00355FEF" w:rsidRPr="00EB0680" w:rsidRDefault="00355FEF" w:rsidP="00940117">
      <w:pPr>
        <w:spacing w:line="300" w:lineRule="exact"/>
        <w:jc w:val="center"/>
        <w:rPr>
          <w:rFonts w:ascii="Times New Roman" w:hAnsi="Times New Roman" w:cs="Times New Roman"/>
          <w:b/>
          <w:spacing w:val="4"/>
          <w:sz w:val="22"/>
          <w:szCs w:val="22"/>
        </w:rPr>
      </w:pPr>
      <w:r w:rsidRPr="00EB0680">
        <w:rPr>
          <w:rFonts w:ascii="Times New Roman" w:hAnsi="Times New Roman" w:cs="Times New Roman"/>
          <w:b/>
          <w:spacing w:val="4"/>
          <w:sz w:val="22"/>
          <w:szCs w:val="22"/>
        </w:rPr>
        <w:t xml:space="preserve">LOS ESTADOS </w:t>
      </w:r>
      <w:r w:rsidR="006D682D" w:rsidRPr="00EB0680">
        <w:rPr>
          <w:rFonts w:ascii="Times New Roman" w:hAnsi="Times New Roman" w:cs="Times New Roman"/>
          <w:b/>
          <w:spacing w:val="4"/>
          <w:sz w:val="22"/>
          <w:szCs w:val="22"/>
        </w:rPr>
        <w:t>F</w:t>
      </w:r>
      <w:r w:rsidRPr="00EB0680">
        <w:rPr>
          <w:rFonts w:ascii="Times New Roman" w:hAnsi="Times New Roman" w:cs="Times New Roman"/>
          <w:b/>
          <w:spacing w:val="4"/>
          <w:sz w:val="22"/>
          <w:szCs w:val="22"/>
        </w:rPr>
        <w:t xml:space="preserve">INANCIEROS POR EFECTOS DE </w:t>
      </w:r>
      <w:smartTag w:uri="urn:schemas-microsoft-com:office:smarttags" w:element="PersonName">
        <w:smartTagPr>
          <w:attr w:name="ProductID" w:val="LA INFLACIￓN"/>
        </w:smartTagPr>
        <w:r w:rsidRPr="00EB0680">
          <w:rPr>
            <w:rFonts w:ascii="Times New Roman" w:hAnsi="Times New Roman" w:cs="Times New Roman"/>
            <w:b/>
            <w:spacing w:val="4"/>
            <w:sz w:val="22"/>
            <w:szCs w:val="22"/>
          </w:rPr>
          <w:t>LA INFLACIÓN</w:t>
        </w:r>
      </w:smartTag>
    </w:p>
    <w:p w:rsidR="00CF10EF" w:rsidRPr="00B4363A" w:rsidRDefault="00CF10EF" w:rsidP="00940117">
      <w:pPr>
        <w:pStyle w:val="Textoindependiente3"/>
        <w:spacing w:line="300" w:lineRule="exact"/>
        <w:rPr>
          <w:rFonts w:ascii="Times New Roman" w:hAnsi="Times New Roman" w:cs="Times New Roman"/>
          <w:b/>
          <w:sz w:val="20"/>
          <w:szCs w:val="20"/>
        </w:rPr>
      </w:pPr>
    </w:p>
    <w:p w:rsidR="00355FEF" w:rsidRPr="00B4363A" w:rsidRDefault="00355FEF" w:rsidP="00940117">
      <w:pPr>
        <w:pStyle w:val="Textoindependiente3"/>
        <w:spacing w:line="300" w:lineRule="exact"/>
        <w:rPr>
          <w:rFonts w:ascii="Times New Roman" w:hAnsi="Times New Roman" w:cs="Times New Roman"/>
          <w:b/>
          <w:sz w:val="20"/>
          <w:szCs w:val="20"/>
        </w:rPr>
      </w:pPr>
    </w:p>
    <w:p w:rsidR="00DA4B91" w:rsidRPr="00EB0680" w:rsidRDefault="00DA4B91" w:rsidP="00EB0680">
      <w:pPr>
        <w:pStyle w:val="Textoindependiente3"/>
        <w:spacing w:after="120" w:line="300" w:lineRule="exact"/>
        <w:ind w:firstLine="510"/>
        <w:rPr>
          <w:rFonts w:ascii="Times New Roman" w:eastAsia="Batang" w:hAnsi="Times New Roman" w:cs="Times New Roman"/>
          <w:sz w:val="22"/>
          <w:szCs w:val="22"/>
        </w:rPr>
      </w:pPr>
      <w:r w:rsidRPr="00EB0680">
        <w:rPr>
          <w:rFonts w:ascii="Times New Roman" w:eastAsia="Batang" w:hAnsi="Times New Roman" w:cs="Times New Roman"/>
          <w:sz w:val="22"/>
          <w:szCs w:val="22"/>
        </w:rPr>
        <w:t xml:space="preserve">Según </w:t>
      </w:r>
      <w:smartTag w:uri="urn:schemas-microsoft-com:office:smarttags" w:element="PersonName">
        <w:smartTagPr>
          <w:attr w:name="ProductID" w:val="la DPC N"/>
        </w:smartTagPr>
        <w:r w:rsidRPr="00EB0680">
          <w:rPr>
            <w:rFonts w:ascii="Times New Roman" w:eastAsia="Batang" w:hAnsi="Times New Roman" w:cs="Times New Roman"/>
            <w:sz w:val="22"/>
            <w:szCs w:val="22"/>
          </w:rPr>
          <w:t>la DPC N</w:t>
        </w:r>
      </w:smartTag>
      <w:r w:rsidRPr="00EB0680">
        <w:rPr>
          <w:rFonts w:ascii="Times New Roman" w:eastAsia="Batang" w:hAnsi="Times New Roman" w:cs="Times New Roman"/>
          <w:sz w:val="22"/>
          <w:szCs w:val="22"/>
        </w:rPr>
        <w:t>º 10, la doctrina y la práctica contable han desarrollado tres métodos de ajuste para medir los efectos de la inflación</w:t>
      </w:r>
      <w:r w:rsidR="000A4135">
        <w:rPr>
          <w:rFonts w:ascii="Times New Roman" w:eastAsia="Batang" w:hAnsi="Times New Roman" w:cs="Times New Roman"/>
          <w:sz w:val="22"/>
          <w:szCs w:val="22"/>
        </w:rPr>
        <w:t>, sin embargo, las normas actuales han desarrollado más ampliamente el método del nivel general de precios y el método que combina los precios constantes y valores corrientes</w:t>
      </w:r>
      <w:r w:rsidRPr="00EB0680">
        <w:rPr>
          <w:rFonts w:ascii="Times New Roman" w:eastAsia="Batang" w:hAnsi="Times New Roman" w:cs="Times New Roman"/>
          <w:sz w:val="22"/>
          <w:szCs w:val="22"/>
        </w:rPr>
        <w:t>:</w:t>
      </w:r>
    </w:p>
    <w:p w:rsidR="00DA4B91" w:rsidRDefault="00DA4B91" w:rsidP="001632CA">
      <w:pPr>
        <w:pStyle w:val="Textoindependiente"/>
        <w:numPr>
          <w:ilvl w:val="0"/>
          <w:numId w:val="11"/>
        </w:numPr>
        <w:spacing w:line="300" w:lineRule="exact"/>
        <w:ind w:left="738" w:hanging="454"/>
        <w:rPr>
          <w:rFonts w:ascii="Times New Roman" w:eastAsia="Batang" w:hAnsi="Times New Roman" w:cs="Times New Roman"/>
          <w:sz w:val="22"/>
          <w:szCs w:val="22"/>
        </w:rPr>
      </w:pPr>
      <w:r w:rsidRPr="00EB0680">
        <w:rPr>
          <w:rFonts w:ascii="Times New Roman" w:eastAsia="Batang" w:hAnsi="Times New Roman" w:cs="Times New Roman"/>
          <w:sz w:val="22"/>
          <w:szCs w:val="22"/>
        </w:rPr>
        <w:t xml:space="preserve">El Método del </w:t>
      </w:r>
      <w:r w:rsidR="007656F7">
        <w:rPr>
          <w:rFonts w:ascii="Times New Roman" w:eastAsia="Batang" w:hAnsi="Times New Roman" w:cs="Times New Roman"/>
          <w:sz w:val="22"/>
          <w:szCs w:val="22"/>
        </w:rPr>
        <w:t xml:space="preserve">Índice del </w:t>
      </w:r>
      <w:r w:rsidRPr="00EB0680">
        <w:rPr>
          <w:rFonts w:ascii="Times New Roman" w:eastAsia="Batang" w:hAnsi="Times New Roman" w:cs="Times New Roman"/>
          <w:sz w:val="22"/>
          <w:szCs w:val="22"/>
        </w:rPr>
        <w:t>Nivel General de Precios</w:t>
      </w:r>
      <w:r w:rsidR="007656F7">
        <w:rPr>
          <w:rFonts w:ascii="Times New Roman" w:eastAsia="Batang" w:hAnsi="Times New Roman" w:cs="Times New Roman"/>
          <w:sz w:val="22"/>
          <w:szCs w:val="22"/>
        </w:rPr>
        <w:t xml:space="preserve"> al Consumidor</w:t>
      </w:r>
      <w:r w:rsidRPr="00EB0680">
        <w:rPr>
          <w:rFonts w:ascii="Times New Roman" w:eastAsia="Batang" w:hAnsi="Times New Roman" w:cs="Times New Roman"/>
          <w:sz w:val="22"/>
          <w:szCs w:val="22"/>
        </w:rPr>
        <w:t xml:space="preserve"> o de Precios Constantes. Es la aplicación integral de un índice que permite la estimación de precios constantes en la economía.</w:t>
      </w:r>
    </w:p>
    <w:p w:rsidR="000A4135" w:rsidRPr="00EB0680" w:rsidRDefault="000A4135" w:rsidP="001632CA">
      <w:pPr>
        <w:pStyle w:val="Textoindependiente"/>
        <w:numPr>
          <w:ilvl w:val="0"/>
          <w:numId w:val="11"/>
        </w:numPr>
        <w:spacing w:line="300" w:lineRule="exact"/>
        <w:ind w:left="738" w:hanging="454"/>
        <w:rPr>
          <w:rFonts w:ascii="Times New Roman" w:eastAsia="Batang" w:hAnsi="Times New Roman" w:cs="Times New Roman"/>
          <w:sz w:val="22"/>
          <w:szCs w:val="22"/>
        </w:rPr>
      </w:pPr>
      <w:r>
        <w:rPr>
          <w:rFonts w:ascii="Times New Roman" w:eastAsia="Batang" w:hAnsi="Times New Roman" w:cs="Times New Roman"/>
          <w:sz w:val="22"/>
          <w:szCs w:val="22"/>
        </w:rPr>
        <w:t>El Método de Costos Corrientes</w:t>
      </w:r>
    </w:p>
    <w:p w:rsidR="00DA4B91" w:rsidRPr="00EB0680" w:rsidRDefault="00DA4B91" w:rsidP="001632CA">
      <w:pPr>
        <w:pStyle w:val="Textoindependiente"/>
        <w:numPr>
          <w:ilvl w:val="0"/>
          <w:numId w:val="11"/>
        </w:numPr>
        <w:spacing w:line="300" w:lineRule="exact"/>
        <w:ind w:left="738" w:hanging="454"/>
        <w:rPr>
          <w:rFonts w:ascii="Times New Roman" w:eastAsia="Batang" w:hAnsi="Times New Roman" w:cs="Times New Roman"/>
          <w:sz w:val="22"/>
          <w:szCs w:val="22"/>
        </w:rPr>
      </w:pPr>
      <w:r w:rsidRPr="00EB0680">
        <w:rPr>
          <w:rFonts w:ascii="Times New Roman" w:eastAsia="Batang" w:hAnsi="Times New Roman" w:cs="Times New Roman"/>
          <w:sz w:val="22"/>
          <w:szCs w:val="22"/>
        </w:rPr>
        <w:t xml:space="preserve">El Método Mixto. Consiste en la aplicación integral de un índice general de precios a todas las partidas de los estados financieros </w:t>
      </w:r>
      <w:r w:rsidR="002C6F5D">
        <w:rPr>
          <w:rFonts w:ascii="Times New Roman" w:eastAsia="Batang" w:hAnsi="Times New Roman" w:cs="Times New Roman"/>
          <w:sz w:val="22"/>
          <w:szCs w:val="22"/>
        </w:rPr>
        <w:t xml:space="preserve"> y luego reemplazar</w:t>
      </w:r>
      <w:r w:rsidRPr="00EB0680">
        <w:rPr>
          <w:rFonts w:ascii="Times New Roman" w:eastAsia="Batang" w:hAnsi="Times New Roman" w:cs="Times New Roman"/>
          <w:sz w:val="22"/>
          <w:szCs w:val="22"/>
        </w:rPr>
        <w:t>los</w:t>
      </w:r>
      <w:r w:rsidR="002C6F5D">
        <w:rPr>
          <w:rFonts w:ascii="Times New Roman" w:eastAsia="Batang" w:hAnsi="Times New Roman" w:cs="Times New Roman"/>
          <w:sz w:val="22"/>
          <w:szCs w:val="22"/>
        </w:rPr>
        <w:t xml:space="preserve"> por</w:t>
      </w:r>
      <w:r w:rsidRPr="00EB0680">
        <w:rPr>
          <w:rFonts w:ascii="Times New Roman" w:eastAsia="Batang" w:hAnsi="Times New Roman" w:cs="Times New Roman"/>
          <w:sz w:val="22"/>
          <w:szCs w:val="22"/>
        </w:rPr>
        <w:t xml:space="preserve"> valores corrientes.</w:t>
      </w:r>
    </w:p>
    <w:p w:rsidR="00DA4B91" w:rsidRPr="00EB0680" w:rsidRDefault="00DA4B91" w:rsidP="002C6F5D">
      <w:pPr>
        <w:pStyle w:val="Textoindependiente"/>
        <w:spacing w:line="300" w:lineRule="exact"/>
        <w:ind w:firstLine="510"/>
        <w:rPr>
          <w:rFonts w:ascii="Times New Roman" w:eastAsia="Batang" w:hAnsi="Times New Roman" w:cs="Times New Roman"/>
          <w:sz w:val="22"/>
          <w:szCs w:val="22"/>
        </w:rPr>
      </w:pPr>
    </w:p>
    <w:p w:rsidR="00355FEF" w:rsidRPr="008F6C73" w:rsidRDefault="00355FEF" w:rsidP="002C6F5D">
      <w:pPr>
        <w:pStyle w:val="Textoindependiente"/>
        <w:spacing w:line="300" w:lineRule="exact"/>
        <w:rPr>
          <w:rFonts w:ascii="Times New Roman" w:eastAsia="Batang" w:hAnsi="Times New Roman" w:cs="Times New Roman"/>
          <w:b/>
          <w:i/>
          <w:sz w:val="22"/>
          <w:szCs w:val="22"/>
        </w:rPr>
      </w:pPr>
      <w:r w:rsidRPr="008F6C73">
        <w:rPr>
          <w:rFonts w:ascii="Times New Roman" w:eastAsia="Batang" w:hAnsi="Times New Roman" w:cs="Times New Roman"/>
          <w:b/>
          <w:i/>
          <w:sz w:val="22"/>
          <w:szCs w:val="22"/>
        </w:rPr>
        <w:t>Método del Nivel General de Precios o de Precios Constantes</w:t>
      </w:r>
    </w:p>
    <w:p w:rsidR="00BE03FB" w:rsidRPr="00EB0680" w:rsidRDefault="00BE03FB" w:rsidP="002C6F5D">
      <w:pPr>
        <w:pStyle w:val="Textoindependiente"/>
        <w:spacing w:line="300" w:lineRule="exact"/>
        <w:rPr>
          <w:rFonts w:ascii="Times New Roman" w:eastAsia="Batang" w:hAnsi="Times New Roman" w:cs="Times New Roman"/>
          <w:i/>
          <w:sz w:val="22"/>
          <w:szCs w:val="22"/>
        </w:rPr>
      </w:pPr>
    </w:p>
    <w:p w:rsidR="00355FEF" w:rsidRPr="00EB0680" w:rsidRDefault="00355FEF" w:rsidP="008266A1">
      <w:pPr>
        <w:pStyle w:val="Textoindependiente"/>
        <w:spacing w:after="120" w:line="300" w:lineRule="exact"/>
        <w:ind w:firstLine="510"/>
        <w:rPr>
          <w:rFonts w:ascii="Times New Roman" w:eastAsia="Batang" w:hAnsi="Times New Roman" w:cs="Times New Roman"/>
          <w:sz w:val="22"/>
          <w:szCs w:val="22"/>
        </w:rPr>
      </w:pPr>
      <w:r w:rsidRPr="00EB0680">
        <w:rPr>
          <w:rFonts w:ascii="Times New Roman" w:eastAsia="Batang" w:hAnsi="Times New Roman" w:cs="Times New Roman"/>
          <w:sz w:val="22"/>
          <w:szCs w:val="22"/>
        </w:rPr>
        <w:t xml:space="preserve">De acuerdo </w:t>
      </w:r>
      <w:r w:rsidR="00921DF2">
        <w:rPr>
          <w:rFonts w:ascii="Times New Roman" w:eastAsia="Batang" w:hAnsi="Times New Roman" w:cs="Times New Roman"/>
          <w:sz w:val="22"/>
          <w:szCs w:val="22"/>
        </w:rPr>
        <w:t>con</w:t>
      </w:r>
      <w:r w:rsidRPr="00EB0680">
        <w:rPr>
          <w:rFonts w:ascii="Times New Roman" w:eastAsia="Batang" w:hAnsi="Times New Roman" w:cs="Times New Roman"/>
          <w:sz w:val="22"/>
          <w:szCs w:val="22"/>
        </w:rPr>
        <w:t xml:space="preserve"> </w:t>
      </w:r>
      <w:smartTag w:uri="urn:schemas-microsoft-com:office:smarttags" w:element="PersonName">
        <w:smartTagPr>
          <w:attr w:name="ProductID" w:val="la DPC"/>
        </w:smartTagPr>
        <w:r w:rsidRPr="00EB0680">
          <w:rPr>
            <w:rFonts w:ascii="Times New Roman" w:eastAsia="Batang" w:hAnsi="Times New Roman" w:cs="Times New Roman"/>
            <w:sz w:val="22"/>
            <w:szCs w:val="22"/>
          </w:rPr>
          <w:t>la DPC</w:t>
        </w:r>
      </w:smartTag>
      <w:r w:rsidR="001B3089">
        <w:rPr>
          <w:rFonts w:ascii="Times New Roman" w:eastAsia="Batang" w:hAnsi="Times New Roman" w:cs="Times New Roman"/>
          <w:sz w:val="22"/>
          <w:szCs w:val="22"/>
        </w:rPr>
        <w:t xml:space="preserve"> </w:t>
      </w:r>
      <w:r w:rsidRPr="00EB0680">
        <w:rPr>
          <w:rFonts w:ascii="Times New Roman" w:eastAsia="Batang" w:hAnsi="Times New Roman" w:cs="Times New Roman"/>
          <w:sz w:val="22"/>
          <w:szCs w:val="22"/>
        </w:rPr>
        <w:t>10, e</w:t>
      </w:r>
      <w:r w:rsidR="00DA4B91" w:rsidRPr="00EB0680">
        <w:rPr>
          <w:rFonts w:ascii="Times New Roman" w:eastAsia="Batang" w:hAnsi="Times New Roman" w:cs="Times New Roman"/>
          <w:sz w:val="22"/>
          <w:szCs w:val="22"/>
        </w:rPr>
        <w:t xml:space="preserve">l </w:t>
      </w:r>
      <w:r w:rsidR="00921DF2">
        <w:rPr>
          <w:rFonts w:ascii="Times New Roman" w:eastAsia="Batang" w:hAnsi="Times New Roman" w:cs="Times New Roman"/>
          <w:sz w:val="22"/>
          <w:szCs w:val="22"/>
        </w:rPr>
        <w:t>m</w:t>
      </w:r>
      <w:r w:rsidR="00DA4B91" w:rsidRPr="00EB0680">
        <w:rPr>
          <w:rFonts w:ascii="Times New Roman" w:eastAsia="Batang" w:hAnsi="Times New Roman" w:cs="Times New Roman"/>
          <w:sz w:val="22"/>
          <w:szCs w:val="22"/>
        </w:rPr>
        <w:t xml:space="preserve">étodo del </w:t>
      </w:r>
      <w:r w:rsidR="00921DF2">
        <w:rPr>
          <w:rFonts w:ascii="Times New Roman" w:eastAsia="Batang" w:hAnsi="Times New Roman" w:cs="Times New Roman"/>
          <w:sz w:val="22"/>
          <w:szCs w:val="22"/>
        </w:rPr>
        <w:t>Índice</w:t>
      </w:r>
      <w:r w:rsidR="00DA4B91" w:rsidRPr="00EB0680">
        <w:rPr>
          <w:rFonts w:ascii="Times New Roman" w:eastAsia="Batang" w:hAnsi="Times New Roman" w:cs="Times New Roman"/>
          <w:sz w:val="22"/>
          <w:szCs w:val="22"/>
        </w:rPr>
        <w:t xml:space="preserve"> </w:t>
      </w:r>
      <w:r w:rsidR="00E47B2A" w:rsidRPr="00EB0680">
        <w:rPr>
          <w:rFonts w:ascii="Times New Roman" w:eastAsia="Batang" w:hAnsi="Times New Roman" w:cs="Times New Roman"/>
          <w:sz w:val="22"/>
          <w:szCs w:val="22"/>
        </w:rPr>
        <w:t xml:space="preserve">General </w:t>
      </w:r>
      <w:r w:rsidR="00DA4B91" w:rsidRPr="00EB0680">
        <w:rPr>
          <w:rFonts w:ascii="Times New Roman" w:eastAsia="Batang" w:hAnsi="Times New Roman" w:cs="Times New Roman"/>
          <w:sz w:val="22"/>
          <w:szCs w:val="22"/>
        </w:rPr>
        <w:t xml:space="preserve">de </w:t>
      </w:r>
      <w:r w:rsidR="00E47B2A" w:rsidRPr="00EB0680">
        <w:rPr>
          <w:rFonts w:ascii="Times New Roman" w:eastAsia="Batang" w:hAnsi="Times New Roman" w:cs="Times New Roman"/>
          <w:sz w:val="22"/>
          <w:szCs w:val="22"/>
        </w:rPr>
        <w:t>P</w:t>
      </w:r>
      <w:r w:rsidR="00DA4B91" w:rsidRPr="00EB0680">
        <w:rPr>
          <w:rFonts w:ascii="Times New Roman" w:eastAsia="Batang" w:hAnsi="Times New Roman" w:cs="Times New Roman"/>
          <w:sz w:val="22"/>
          <w:szCs w:val="22"/>
        </w:rPr>
        <w:t xml:space="preserve">recios o de </w:t>
      </w:r>
      <w:r w:rsidR="00E47B2A" w:rsidRPr="00EB0680">
        <w:rPr>
          <w:rFonts w:ascii="Times New Roman" w:eastAsia="Batang" w:hAnsi="Times New Roman" w:cs="Times New Roman"/>
          <w:sz w:val="22"/>
          <w:szCs w:val="22"/>
        </w:rPr>
        <w:t>P</w:t>
      </w:r>
      <w:r w:rsidR="00DA4B91" w:rsidRPr="00EB0680">
        <w:rPr>
          <w:rFonts w:ascii="Times New Roman" w:eastAsia="Batang" w:hAnsi="Times New Roman" w:cs="Times New Roman"/>
          <w:sz w:val="22"/>
          <w:szCs w:val="22"/>
        </w:rPr>
        <w:t xml:space="preserve">recios </w:t>
      </w:r>
      <w:r w:rsidR="00E47B2A" w:rsidRPr="00EB0680">
        <w:rPr>
          <w:rFonts w:ascii="Times New Roman" w:eastAsia="Batang" w:hAnsi="Times New Roman" w:cs="Times New Roman"/>
          <w:sz w:val="22"/>
          <w:szCs w:val="22"/>
        </w:rPr>
        <w:t>C</w:t>
      </w:r>
      <w:r w:rsidR="00DA4B91" w:rsidRPr="00EB0680">
        <w:rPr>
          <w:rFonts w:ascii="Times New Roman" w:eastAsia="Batang" w:hAnsi="Times New Roman" w:cs="Times New Roman"/>
          <w:sz w:val="22"/>
          <w:szCs w:val="22"/>
        </w:rPr>
        <w:t>onstantes mantiene conceptualmente el principio de los costos históricos. Es la aplicación de una unidad monetaria de poder adquisitivo constante a los estados financieros históricos.</w:t>
      </w:r>
      <w:r w:rsidR="000A4135">
        <w:rPr>
          <w:rFonts w:ascii="Times New Roman" w:eastAsia="Batang" w:hAnsi="Times New Roman" w:cs="Times New Roman"/>
          <w:sz w:val="22"/>
          <w:szCs w:val="22"/>
        </w:rPr>
        <w:t xml:space="preserve"> Para la Norma Internacional 29</w:t>
      </w:r>
      <w:r w:rsidR="00921DF2">
        <w:rPr>
          <w:rFonts w:ascii="Times New Roman" w:eastAsia="Batang" w:hAnsi="Times New Roman" w:cs="Times New Roman"/>
          <w:sz w:val="22"/>
          <w:szCs w:val="22"/>
        </w:rPr>
        <w:t>, parágrafo 2</w:t>
      </w:r>
      <w:r w:rsidR="000A4135">
        <w:rPr>
          <w:rFonts w:ascii="Times New Roman" w:eastAsia="Batang" w:hAnsi="Times New Roman" w:cs="Times New Roman"/>
          <w:sz w:val="22"/>
          <w:szCs w:val="22"/>
        </w:rPr>
        <w:t xml:space="preserve">, la equivalencia conceptual está referida a la aplicación de un índice de precios que permite “reexpresar” las cifras de los estados financieros. Por su parte la Sección 31 expresa en su parágrafo </w:t>
      </w:r>
      <w:r w:rsidR="002F1417">
        <w:rPr>
          <w:rFonts w:ascii="Times New Roman" w:eastAsia="Batang" w:hAnsi="Times New Roman" w:cs="Times New Roman"/>
          <w:sz w:val="22"/>
          <w:szCs w:val="22"/>
        </w:rPr>
        <w:t xml:space="preserve">31.4 </w:t>
      </w:r>
      <w:r w:rsidR="000A4135">
        <w:rPr>
          <w:rFonts w:ascii="Times New Roman" w:eastAsia="Batang" w:hAnsi="Times New Roman" w:cs="Times New Roman"/>
          <w:sz w:val="22"/>
          <w:szCs w:val="22"/>
        </w:rPr>
        <w:t>que l</w:t>
      </w:r>
      <w:r w:rsidR="000A4135" w:rsidRPr="000A4135">
        <w:rPr>
          <w:rFonts w:ascii="Times New Roman" w:eastAsia="Batang" w:hAnsi="Times New Roman" w:cs="Times New Roman"/>
          <w:sz w:val="22"/>
          <w:szCs w:val="22"/>
        </w:rPr>
        <w:t>a reexpresión de los estados financieros, de acuerdo con lo establecido en esta sección, requiere el uso de un índice general de precios que refleje los cambios en el poder adquisitivo general</w:t>
      </w:r>
      <w:r w:rsidR="000A4135">
        <w:rPr>
          <w:rFonts w:ascii="Times New Roman" w:eastAsia="Batang" w:hAnsi="Times New Roman" w:cs="Times New Roman"/>
          <w:sz w:val="22"/>
          <w:szCs w:val="22"/>
        </w:rPr>
        <w:t>.</w:t>
      </w:r>
    </w:p>
    <w:p w:rsidR="00291646" w:rsidRPr="00EB0680" w:rsidRDefault="00291646" w:rsidP="008266A1">
      <w:pPr>
        <w:pStyle w:val="Textoindependiente"/>
        <w:spacing w:after="120" w:line="300" w:lineRule="exact"/>
        <w:ind w:firstLine="510"/>
        <w:rPr>
          <w:rFonts w:ascii="Times New Roman" w:eastAsia="Batang" w:hAnsi="Times New Roman" w:cs="Times New Roman"/>
          <w:b/>
          <w:sz w:val="22"/>
          <w:szCs w:val="22"/>
        </w:rPr>
      </w:pPr>
      <w:r w:rsidRPr="00EB0680">
        <w:rPr>
          <w:rFonts w:ascii="Times New Roman" w:eastAsia="Batang" w:hAnsi="Times New Roman" w:cs="Times New Roman"/>
          <w:sz w:val="22"/>
          <w:szCs w:val="22"/>
        </w:rPr>
        <w:t xml:space="preserve">El ajuste por </w:t>
      </w:r>
      <w:r w:rsidR="005A664E">
        <w:rPr>
          <w:rFonts w:ascii="Times New Roman" w:eastAsia="Batang" w:hAnsi="Times New Roman" w:cs="Times New Roman"/>
          <w:sz w:val="22"/>
          <w:szCs w:val="22"/>
        </w:rPr>
        <w:t>el índice de precios a</w:t>
      </w:r>
      <w:r w:rsidRPr="00EB0680">
        <w:rPr>
          <w:rFonts w:ascii="Times New Roman" w:eastAsia="Batang" w:hAnsi="Times New Roman" w:cs="Times New Roman"/>
          <w:sz w:val="22"/>
          <w:szCs w:val="22"/>
        </w:rPr>
        <w:t xml:space="preserve"> los estados financieros valuados a costos históricos requiere expresar ciertas partidas en una unidad monetaria uniforme, mediante la aplicación de coeficientes de ajustes basados en un índice representativo de las variaciones en el nivel general de precios. Estos índices pueden ser el Índice </w:t>
      </w:r>
      <w:r w:rsidR="005A664E">
        <w:rPr>
          <w:rFonts w:ascii="Times New Roman" w:eastAsia="Batang" w:hAnsi="Times New Roman" w:cs="Times New Roman"/>
          <w:sz w:val="22"/>
          <w:szCs w:val="22"/>
        </w:rPr>
        <w:t xml:space="preserve">Nacional </w:t>
      </w:r>
      <w:r w:rsidRPr="00EB0680">
        <w:rPr>
          <w:rFonts w:ascii="Times New Roman" w:eastAsia="Batang" w:hAnsi="Times New Roman" w:cs="Times New Roman"/>
          <w:sz w:val="22"/>
          <w:szCs w:val="22"/>
        </w:rPr>
        <w:t xml:space="preserve">de Precios a nivel del </w:t>
      </w:r>
      <w:r w:rsidR="005A664E">
        <w:rPr>
          <w:rFonts w:ascii="Times New Roman" w:eastAsia="Batang" w:hAnsi="Times New Roman" w:cs="Times New Roman"/>
          <w:sz w:val="22"/>
          <w:szCs w:val="22"/>
        </w:rPr>
        <w:t>C</w:t>
      </w:r>
      <w:r w:rsidRPr="00EB0680">
        <w:rPr>
          <w:rFonts w:ascii="Times New Roman" w:eastAsia="Batang" w:hAnsi="Times New Roman" w:cs="Times New Roman"/>
          <w:sz w:val="22"/>
          <w:szCs w:val="22"/>
        </w:rPr>
        <w:t>onsumidor (</w:t>
      </w:r>
      <w:r w:rsidR="007927DF">
        <w:rPr>
          <w:rFonts w:ascii="Times New Roman" w:eastAsia="Batang" w:hAnsi="Times New Roman" w:cs="Times New Roman"/>
          <w:sz w:val="22"/>
          <w:szCs w:val="22"/>
        </w:rPr>
        <w:t>INPC</w:t>
      </w:r>
      <w:r w:rsidRPr="00EB0680">
        <w:rPr>
          <w:rFonts w:ascii="Times New Roman" w:eastAsia="Batang" w:hAnsi="Times New Roman" w:cs="Times New Roman"/>
          <w:sz w:val="22"/>
          <w:szCs w:val="22"/>
        </w:rPr>
        <w:t>)</w:t>
      </w:r>
      <w:r w:rsidR="005A664E">
        <w:rPr>
          <w:rFonts w:ascii="Times New Roman" w:eastAsia="Batang" w:hAnsi="Times New Roman" w:cs="Times New Roman"/>
          <w:sz w:val="22"/>
          <w:szCs w:val="22"/>
        </w:rPr>
        <w:t>,</w:t>
      </w:r>
      <w:r w:rsidRPr="00EB0680">
        <w:rPr>
          <w:rFonts w:ascii="Times New Roman" w:eastAsia="Batang" w:hAnsi="Times New Roman" w:cs="Times New Roman"/>
          <w:sz w:val="22"/>
          <w:szCs w:val="22"/>
        </w:rPr>
        <w:t xml:space="preserve"> publicados por el BCV</w:t>
      </w:r>
      <w:r w:rsidR="005A664E">
        <w:rPr>
          <w:rFonts w:ascii="Times New Roman" w:eastAsia="Batang" w:hAnsi="Times New Roman" w:cs="Times New Roman"/>
          <w:sz w:val="22"/>
          <w:szCs w:val="22"/>
        </w:rPr>
        <w:t xml:space="preserve"> y el INE</w:t>
      </w:r>
      <w:r w:rsidRPr="00EB0680">
        <w:rPr>
          <w:rFonts w:ascii="Times New Roman" w:eastAsia="Batang" w:hAnsi="Times New Roman" w:cs="Times New Roman"/>
          <w:sz w:val="22"/>
          <w:szCs w:val="22"/>
        </w:rPr>
        <w:t>, siendo el más representativo de la situac</w:t>
      </w:r>
      <w:r w:rsidR="005A664E">
        <w:rPr>
          <w:rFonts w:ascii="Times New Roman" w:eastAsia="Batang" w:hAnsi="Times New Roman" w:cs="Times New Roman"/>
          <w:sz w:val="22"/>
          <w:szCs w:val="22"/>
        </w:rPr>
        <w:t>ión relacionada con los precios.</w:t>
      </w:r>
      <w:r w:rsidRPr="00EB0680">
        <w:rPr>
          <w:rFonts w:ascii="Times New Roman" w:eastAsia="Batang" w:hAnsi="Times New Roman" w:cs="Times New Roman"/>
          <w:sz w:val="22"/>
          <w:szCs w:val="22"/>
        </w:rPr>
        <w:t xml:space="preserve"> </w:t>
      </w:r>
    </w:p>
    <w:p w:rsidR="001632CA" w:rsidRDefault="00291646" w:rsidP="00EB0680">
      <w:pPr>
        <w:pStyle w:val="Textosinformato"/>
        <w:spacing w:after="120" w:line="300" w:lineRule="exact"/>
        <w:ind w:firstLine="510"/>
        <w:jc w:val="both"/>
        <w:rPr>
          <w:rFonts w:ascii="Times New Roman" w:eastAsia="Batang" w:hAnsi="Times New Roman" w:cs="Times New Roman"/>
          <w:sz w:val="22"/>
          <w:szCs w:val="22"/>
        </w:rPr>
      </w:pPr>
      <w:r w:rsidRPr="00EB0680">
        <w:rPr>
          <w:rFonts w:ascii="Times New Roman" w:eastAsia="Batang" w:hAnsi="Times New Roman" w:cs="Times New Roman"/>
          <w:sz w:val="22"/>
          <w:szCs w:val="22"/>
        </w:rPr>
        <w:t>El objetivo de</w:t>
      </w:r>
      <w:r w:rsidR="005A664E">
        <w:rPr>
          <w:rFonts w:ascii="Times New Roman" w:eastAsia="Batang" w:hAnsi="Times New Roman" w:cs="Times New Roman"/>
          <w:sz w:val="22"/>
          <w:szCs w:val="22"/>
        </w:rPr>
        <w:t xml:space="preserve"> </w:t>
      </w:r>
      <w:r w:rsidRPr="00EB0680">
        <w:rPr>
          <w:rFonts w:ascii="Times New Roman" w:eastAsia="Batang" w:hAnsi="Times New Roman" w:cs="Times New Roman"/>
          <w:sz w:val="22"/>
          <w:szCs w:val="22"/>
        </w:rPr>
        <w:t>l</w:t>
      </w:r>
      <w:r w:rsidR="005A664E">
        <w:rPr>
          <w:rFonts w:ascii="Times New Roman" w:eastAsia="Batang" w:hAnsi="Times New Roman" w:cs="Times New Roman"/>
          <w:sz w:val="22"/>
          <w:szCs w:val="22"/>
        </w:rPr>
        <w:t>a</w:t>
      </w:r>
      <w:r w:rsidR="00D150B8">
        <w:rPr>
          <w:rFonts w:ascii="Times New Roman" w:eastAsia="Batang" w:hAnsi="Times New Roman" w:cs="Times New Roman"/>
          <w:sz w:val="22"/>
          <w:szCs w:val="22"/>
        </w:rPr>
        <w:t xml:space="preserve"> me</w:t>
      </w:r>
      <w:r w:rsidRPr="00EB0680">
        <w:rPr>
          <w:rFonts w:ascii="Times New Roman" w:eastAsia="Batang" w:hAnsi="Times New Roman" w:cs="Times New Roman"/>
          <w:sz w:val="22"/>
          <w:szCs w:val="22"/>
        </w:rPr>
        <w:t>todo</w:t>
      </w:r>
      <w:r w:rsidR="00D150B8">
        <w:rPr>
          <w:rFonts w:ascii="Times New Roman" w:eastAsia="Batang" w:hAnsi="Times New Roman" w:cs="Times New Roman"/>
          <w:sz w:val="22"/>
          <w:szCs w:val="22"/>
        </w:rPr>
        <w:t>logía</w:t>
      </w:r>
      <w:r w:rsidRPr="00EB0680">
        <w:rPr>
          <w:rFonts w:ascii="Times New Roman" w:eastAsia="Batang" w:hAnsi="Times New Roman" w:cs="Times New Roman"/>
          <w:sz w:val="22"/>
          <w:szCs w:val="22"/>
        </w:rPr>
        <w:t xml:space="preserve"> es eliminar la heterogeneidad de los valores monetarios traduciéndolas a cifras de un mismo poder de compra, aunque estos valores no demuestran los valores de reposición o reemplazo o de realización de un bien específico en un momento dado. </w:t>
      </w:r>
      <w:r w:rsidRPr="00EB0680">
        <w:rPr>
          <w:rFonts w:ascii="Times New Roman" w:eastAsia="Batang" w:hAnsi="Times New Roman" w:cs="Times New Roman"/>
          <w:sz w:val="22"/>
          <w:szCs w:val="22"/>
        </w:rPr>
        <w:cr/>
        <w:t>Con el ajuste por inflación de acuerdo a las metodologías expuestas se intenta:</w:t>
      </w:r>
    </w:p>
    <w:p w:rsidR="00291646" w:rsidRPr="00EB0680" w:rsidRDefault="00291646" w:rsidP="00032ADE">
      <w:pPr>
        <w:pStyle w:val="Textosinformato"/>
        <w:numPr>
          <w:ilvl w:val="0"/>
          <w:numId w:val="26"/>
        </w:numPr>
        <w:spacing w:line="300" w:lineRule="exact"/>
        <w:jc w:val="both"/>
        <w:rPr>
          <w:rFonts w:ascii="Times New Roman" w:eastAsia="Batang" w:hAnsi="Times New Roman" w:cs="Times New Roman"/>
          <w:sz w:val="22"/>
          <w:szCs w:val="22"/>
        </w:rPr>
      </w:pPr>
      <w:r w:rsidRPr="00EB0680">
        <w:rPr>
          <w:rFonts w:ascii="Times New Roman" w:eastAsia="Batang" w:hAnsi="Times New Roman" w:cs="Times New Roman"/>
          <w:sz w:val="22"/>
          <w:szCs w:val="22"/>
        </w:rPr>
        <w:t>Reexpresar los saldos que presentan las partidas no monetarias.</w:t>
      </w:r>
    </w:p>
    <w:p w:rsidR="00291646" w:rsidRPr="00EB0680" w:rsidRDefault="00291646" w:rsidP="00032ADE">
      <w:pPr>
        <w:pStyle w:val="Textoindependiente"/>
        <w:numPr>
          <w:ilvl w:val="0"/>
          <w:numId w:val="26"/>
        </w:numPr>
        <w:spacing w:line="300" w:lineRule="exact"/>
        <w:ind w:left="754" w:hanging="397"/>
        <w:rPr>
          <w:rFonts w:ascii="Times New Roman" w:eastAsia="Batang" w:hAnsi="Times New Roman" w:cs="Times New Roman"/>
          <w:sz w:val="22"/>
          <w:szCs w:val="22"/>
        </w:rPr>
      </w:pPr>
      <w:r w:rsidRPr="00EB0680">
        <w:rPr>
          <w:rFonts w:ascii="Times New Roman" w:eastAsia="Batang" w:hAnsi="Times New Roman" w:cs="Times New Roman"/>
          <w:sz w:val="22"/>
          <w:szCs w:val="22"/>
        </w:rPr>
        <w:lastRenderedPageBreak/>
        <w:t>Determinar las pérdidas y ganancias monetarias originadas por  el mantenimiento de activos y pasivos monetarios.</w:t>
      </w:r>
    </w:p>
    <w:p w:rsidR="00032ADE" w:rsidRDefault="00032ADE" w:rsidP="00032ADE">
      <w:pPr>
        <w:pStyle w:val="Textoindependiente"/>
        <w:spacing w:after="120" w:line="300" w:lineRule="exact"/>
        <w:ind w:firstLine="510"/>
        <w:rPr>
          <w:rFonts w:ascii="Times New Roman" w:eastAsia="Batang" w:hAnsi="Times New Roman" w:cs="Times New Roman"/>
          <w:sz w:val="22"/>
          <w:szCs w:val="22"/>
        </w:rPr>
      </w:pPr>
    </w:p>
    <w:p w:rsidR="00DA4B91" w:rsidRPr="00B4363A" w:rsidRDefault="00291646" w:rsidP="00032ADE">
      <w:pPr>
        <w:pStyle w:val="Textoindependiente"/>
        <w:spacing w:after="120" w:line="300" w:lineRule="exact"/>
        <w:ind w:firstLine="510"/>
        <w:rPr>
          <w:rFonts w:ascii="Times New Roman" w:eastAsia="Batang" w:hAnsi="Times New Roman" w:cs="Times New Roman"/>
          <w:szCs w:val="20"/>
        </w:rPr>
      </w:pPr>
      <w:r w:rsidRPr="00EB0680">
        <w:rPr>
          <w:rFonts w:ascii="Times New Roman" w:eastAsia="Batang" w:hAnsi="Times New Roman" w:cs="Times New Roman"/>
          <w:sz w:val="22"/>
          <w:szCs w:val="22"/>
        </w:rPr>
        <w:t>Para</w:t>
      </w:r>
      <w:r w:rsidR="00CB558A" w:rsidRPr="00EB0680">
        <w:rPr>
          <w:rFonts w:ascii="Times New Roman" w:eastAsia="Batang" w:hAnsi="Times New Roman" w:cs="Times New Roman"/>
          <w:sz w:val="22"/>
          <w:szCs w:val="22"/>
        </w:rPr>
        <w:t xml:space="preserve"> la aplicación del método de</w:t>
      </w:r>
      <w:r w:rsidR="00921DF2">
        <w:rPr>
          <w:rFonts w:ascii="Times New Roman" w:eastAsia="Batang" w:hAnsi="Times New Roman" w:cs="Times New Roman"/>
          <w:sz w:val="22"/>
          <w:szCs w:val="22"/>
        </w:rPr>
        <w:t>l</w:t>
      </w:r>
      <w:r w:rsidR="00CB558A" w:rsidRPr="00EB0680">
        <w:rPr>
          <w:rFonts w:ascii="Times New Roman" w:eastAsia="Batang" w:hAnsi="Times New Roman" w:cs="Times New Roman"/>
          <w:sz w:val="22"/>
          <w:szCs w:val="22"/>
        </w:rPr>
        <w:t xml:space="preserve"> </w:t>
      </w:r>
      <w:r w:rsidR="00921DF2">
        <w:rPr>
          <w:rFonts w:ascii="Times New Roman" w:eastAsia="Batang" w:hAnsi="Times New Roman" w:cs="Times New Roman"/>
          <w:sz w:val="22"/>
          <w:szCs w:val="22"/>
        </w:rPr>
        <w:t>índice</w:t>
      </w:r>
      <w:r w:rsidR="00CB558A" w:rsidRPr="00EB0680">
        <w:rPr>
          <w:rFonts w:ascii="Times New Roman" w:eastAsia="Batang" w:hAnsi="Times New Roman" w:cs="Times New Roman"/>
          <w:sz w:val="22"/>
          <w:szCs w:val="22"/>
        </w:rPr>
        <w:t xml:space="preserve"> general de precios, se </w:t>
      </w:r>
      <w:r w:rsidR="00DA4B91" w:rsidRPr="00EB0680">
        <w:rPr>
          <w:rFonts w:ascii="Times New Roman" w:eastAsia="Batang" w:hAnsi="Times New Roman" w:cs="Times New Roman"/>
          <w:sz w:val="22"/>
          <w:szCs w:val="22"/>
        </w:rPr>
        <w:t>clasifica</w:t>
      </w:r>
      <w:r w:rsidR="00CB558A" w:rsidRPr="00EB0680">
        <w:rPr>
          <w:rFonts w:ascii="Times New Roman" w:eastAsia="Batang" w:hAnsi="Times New Roman" w:cs="Times New Roman"/>
          <w:sz w:val="22"/>
          <w:szCs w:val="22"/>
        </w:rPr>
        <w:t>n, en primera instancia,</w:t>
      </w:r>
      <w:r w:rsidR="00DA4B91" w:rsidRPr="00EB0680">
        <w:rPr>
          <w:rFonts w:ascii="Times New Roman" w:eastAsia="Batang" w:hAnsi="Times New Roman" w:cs="Times New Roman"/>
          <w:sz w:val="22"/>
          <w:szCs w:val="22"/>
        </w:rPr>
        <w:t xml:space="preserve"> las partidas de los estados financieros en monetarias y no monetarias</w:t>
      </w:r>
      <w:r w:rsidR="005A664E">
        <w:rPr>
          <w:rFonts w:ascii="Times New Roman" w:eastAsia="Batang" w:hAnsi="Times New Roman" w:cs="Times New Roman"/>
          <w:sz w:val="22"/>
          <w:szCs w:val="22"/>
        </w:rPr>
        <w:t xml:space="preserve"> (parágrafo 36 y 41 DPC 10)</w:t>
      </w:r>
      <w:r w:rsidR="00DA4B91" w:rsidRPr="00EB0680">
        <w:rPr>
          <w:rFonts w:ascii="Times New Roman" w:eastAsia="Batang" w:hAnsi="Times New Roman" w:cs="Times New Roman"/>
          <w:sz w:val="22"/>
          <w:szCs w:val="22"/>
        </w:rPr>
        <w:t xml:space="preserve">. Las partidas monetarias son aquellas no protegidas por efectos de la inflación, puesto que sus valores nominales son constantes. Las partidas monetarias se presentan a su valor nominal, ya que reflejan el poder adquisitivo de la unidad monetaria a la fecha del último </w:t>
      </w:r>
      <w:r w:rsidR="001F2759">
        <w:rPr>
          <w:rFonts w:ascii="Times New Roman" w:eastAsia="Batang" w:hAnsi="Times New Roman" w:cs="Times New Roman"/>
          <w:sz w:val="22"/>
          <w:szCs w:val="22"/>
        </w:rPr>
        <w:t>Estado de Situación</w:t>
      </w:r>
      <w:r w:rsidR="005A664E">
        <w:rPr>
          <w:rFonts w:ascii="Times New Roman" w:eastAsia="Batang" w:hAnsi="Times New Roman" w:cs="Times New Roman"/>
          <w:sz w:val="22"/>
          <w:szCs w:val="22"/>
        </w:rPr>
        <w:t xml:space="preserve"> (parágrafos 37 y 39 DPC 10)</w:t>
      </w:r>
      <w:r w:rsidR="00DA4B91" w:rsidRPr="00B4363A">
        <w:rPr>
          <w:rFonts w:ascii="Times New Roman" w:eastAsia="Batang" w:hAnsi="Times New Roman" w:cs="Times New Roman"/>
          <w:szCs w:val="20"/>
        </w:rPr>
        <w:t>.</w:t>
      </w:r>
    </w:p>
    <w:p w:rsidR="00CB558A" w:rsidRPr="00B4363A" w:rsidRDefault="00CB558A" w:rsidP="00940117">
      <w:pPr>
        <w:pStyle w:val="Textoindependiente"/>
        <w:spacing w:line="300" w:lineRule="exact"/>
        <w:rPr>
          <w:rFonts w:ascii="Times New Roman" w:eastAsia="Batang" w:hAnsi="Times New Roman" w:cs="Times New Roman"/>
          <w:szCs w:val="20"/>
        </w:rPr>
      </w:pPr>
    </w:p>
    <w:p w:rsidR="00CB558A" w:rsidRPr="008F6C73" w:rsidRDefault="00297C01" w:rsidP="00940117">
      <w:pPr>
        <w:pStyle w:val="Ttulo"/>
        <w:spacing w:line="300" w:lineRule="exact"/>
        <w:jc w:val="left"/>
        <w:rPr>
          <w:rFonts w:ascii="Times New Roman" w:hAnsi="Times New Roman" w:cs="Times New Roman"/>
          <w:i/>
          <w:sz w:val="22"/>
          <w:szCs w:val="22"/>
        </w:rPr>
      </w:pPr>
      <w:r w:rsidRPr="008F6C73">
        <w:rPr>
          <w:rFonts w:ascii="Times New Roman" w:hAnsi="Times New Roman" w:cs="Times New Roman"/>
          <w:i/>
          <w:sz w:val="22"/>
          <w:szCs w:val="22"/>
        </w:rPr>
        <w:t>Reglas para c</w:t>
      </w:r>
      <w:r w:rsidR="00CB558A" w:rsidRPr="008F6C73">
        <w:rPr>
          <w:rFonts w:ascii="Times New Roman" w:hAnsi="Times New Roman" w:cs="Times New Roman"/>
          <w:i/>
          <w:sz w:val="22"/>
          <w:szCs w:val="22"/>
        </w:rPr>
        <w:t>lasifica</w:t>
      </w:r>
      <w:r w:rsidRPr="008F6C73">
        <w:rPr>
          <w:rFonts w:ascii="Times New Roman" w:hAnsi="Times New Roman" w:cs="Times New Roman"/>
          <w:i/>
          <w:sz w:val="22"/>
          <w:szCs w:val="22"/>
        </w:rPr>
        <w:t xml:space="preserve">r </w:t>
      </w:r>
      <w:r w:rsidR="00CB558A" w:rsidRPr="008F6C73">
        <w:rPr>
          <w:rFonts w:ascii="Times New Roman" w:hAnsi="Times New Roman" w:cs="Times New Roman"/>
          <w:i/>
          <w:sz w:val="22"/>
          <w:szCs w:val="22"/>
        </w:rPr>
        <w:t xml:space="preserve">las partidas para la </w:t>
      </w:r>
      <w:r w:rsidRPr="008F6C73">
        <w:rPr>
          <w:rFonts w:ascii="Times New Roman" w:hAnsi="Times New Roman" w:cs="Times New Roman"/>
          <w:i/>
          <w:sz w:val="22"/>
          <w:szCs w:val="22"/>
        </w:rPr>
        <w:t>c</w:t>
      </w:r>
      <w:r w:rsidR="00CB558A" w:rsidRPr="008F6C73">
        <w:rPr>
          <w:rFonts w:ascii="Times New Roman" w:hAnsi="Times New Roman" w:cs="Times New Roman"/>
          <w:i/>
          <w:sz w:val="22"/>
          <w:szCs w:val="22"/>
        </w:rPr>
        <w:t>orrección</w:t>
      </w:r>
      <w:r w:rsidRPr="008F6C73">
        <w:rPr>
          <w:rFonts w:ascii="Times New Roman" w:hAnsi="Times New Roman" w:cs="Times New Roman"/>
          <w:i/>
          <w:sz w:val="22"/>
          <w:szCs w:val="22"/>
        </w:rPr>
        <w:t xml:space="preserve"> m</w:t>
      </w:r>
      <w:r w:rsidR="00CB558A" w:rsidRPr="008F6C73">
        <w:rPr>
          <w:rFonts w:ascii="Times New Roman" w:hAnsi="Times New Roman" w:cs="Times New Roman"/>
          <w:i/>
          <w:sz w:val="22"/>
          <w:szCs w:val="22"/>
        </w:rPr>
        <w:t>onetaria</w:t>
      </w:r>
    </w:p>
    <w:p w:rsidR="00CB558A" w:rsidRPr="00B4363A" w:rsidRDefault="00CB558A" w:rsidP="00940117">
      <w:pPr>
        <w:spacing w:line="300" w:lineRule="exact"/>
        <w:jc w:val="center"/>
        <w:rPr>
          <w:rFonts w:ascii="Times New Roman" w:hAnsi="Times New Roman" w:cs="Times New Roman"/>
          <w:b/>
          <w:bCs/>
          <w:sz w:val="22"/>
          <w:szCs w:val="22"/>
        </w:rPr>
      </w:pPr>
    </w:p>
    <w:p w:rsidR="00CB558A" w:rsidRPr="00EB0680" w:rsidRDefault="00CB558A" w:rsidP="00EB0680">
      <w:pPr>
        <w:pStyle w:val="Textoindependiente"/>
        <w:tabs>
          <w:tab w:val="left" w:pos="720"/>
        </w:tabs>
        <w:spacing w:line="300" w:lineRule="exact"/>
        <w:ind w:firstLine="510"/>
        <w:rPr>
          <w:rFonts w:ascii="Times New Roman" w:hAnsi="Times New Roman" w:cs="Times New Roman"/>
          <w:sz w:val="22"/>
          <w:szCs w:val="22"/>
        </w:rPr>
      </w:pPr>
      <w:r w:rsidRPr="00EB0680">
        <w:rPr>
          <w:rFonts w:ascii="Times New Roman" w:hAnsi="Times New Roman" w:cs="Times New Roman"/>
          <w:sz w:val="22"/>
          <w:szCs w:val="22"/>
        </w:rPr>
        <w:t>Para realizarlo deben observarse las siguientes reglas:</w:t>
      </w:r>
    </w:p>
    <w:p w:rsidR="00CB558A" w:rsidRPr="00EB0680" w:rsidRDefault="00CB558A" w:rsidP="00940117">
      <w:pPr>
        <w:numPr>
          <w:ilvl w:val="0"/>
          <w:numId w:val="1"/>
        </w:numPr>
        <w:spacing w:line="300" w:lineRule="exact"/>
        <w:jc w:val="both"/>
        <w:rPr>
          <w:rFonts w:ascii="Times New Roman" w:hAnsi="Times New Roman" w:cs="Times New Roman"/>
          <w:sz w:val="22"/>
          <w:szCs w:val="22"/>
        </w:rPr>
      </w:pPr>
      <w:r w:rsidRPr="00EB0680">
        <w:rPr>
          <w:rFonts w:ascii="Times New Roman" w:hAnsi="Times New Roman" w:cs="Times New Roman"/>
          <w:sz w:val="22"/>
          <w:szCs w:val="22"/>
        </w:rPr>
        <w:t>Todas las partidas cuyo valor nominal es constante se consideran monetarias</w:t>
      </w:r>
    </w:p>
    <w:p w:rsidR="00CB558A" w:rsidRPr="00EB0680" w:rsidRDefault="00CB558A" w:rsidP="00940117">
      <w:pPr>
        <w:numPr>
          <w:ilvl w:val="0"/>
          <w:numId w:val="1"/>
        </w:numPr>
        <w:spacing w:line="300" w:lineRule="exact"/>
        <w:jc w:val="both"/>
        <w:rPr>
          <w:rFonts w:ascii="Times New Roman" w:hAnsi="Times New Roman" w:cs="Times New Roman"/>
          <w:sz w:val="22"/>
          <w:szCs w:val="22"/>
        </w:rPr>
      </w:pPr>
      <w:r w:rsidRPr="00EB0680">
        <w:rPr>
          <w:rFonts w:ascii="Times New Roman" w:hAnsi="Times New Roman" w:cs="Times New Roman"/>
          <w:sz w:val="22"/>
          <w:szCs w:val="22"/>
        </w:rPr>
        <w:t>Las partidas cuyo valor nominal difiere con respecto a su verdadero valor, se consideran no monetarias</w:t>
      </w:r>
    </w:p>
    <w:p w:rsidR="00CB558A" w:rsidRPr="00EB0680" w:rsidRDefault="00CB558A" w:rsidP="00940117">
      <w:pPr>
        <w:numPr>
          <w:ilvl w:val="0"/>
          <w:numId w:val="1"/>
        </w:numPr>
        <w:spacing w:line="300" w:lineRule="exact"/>
        <w:jc w:val="both"/>
        <w:rPr>
          <w:rFonts w:ascii="Times New Roman" w:hAnsi="Times New Roman" w:cs="Times New Roman"/>
          <w:sz w:val="22"/>
          <w:szCs w:val="22"/>
        </w:rPr>
      </w:pPr>
      <w:r w:rsidRPr="00EB0680">
        <w:rPr>
          <w:rFonts w:ascii="Times New Roman" w:hAnsi="Times New Roman" w:cs="Times New Roman"/>
          <w:sz w:val="22"/>
          <w:szCs w:val="22"/>
        </w:rPr>
        <w:t>Las partidas que se deriven de partidas no monetarias, se tratan como no monetarias.</w:t>
      </w:r>
    </w:p>
    <w:p w:rsidR="00CB558A" w:rsidRPr="00EB0680" w:rsidRDefault="00CB558A" w:rsidP="00940117">
      <w:pPr>
        <w:numPr>
          <w:ilvl w:val="0"/>
          <w:numId w:val="1"/>
        </w:numPr>
        <w:spacing w:line="300" w:lineRule="exact"/>
        <w:jc w:val="both"/>
        <w:rPr>
          <w:rFonts w:ascii="Times New Roman" w:hAnsi="Times New Roman" w:cs="Times New Roman"/>
          <w:sz w:val="22"/>
          <w:szCs w:val="22"/>
        </w:rPr>
      </w:pPr>
      <w:r w:rsidRPr="00EB0680">
        <w:rPr>
          <w:rFonts w:ascii="Times New Roman" w:hAnsi="Times New Roman" w:cs="Times New Roman"/>
          <w:sz w:val="22"/>
          <w:szCs w:val="22"/>
        </w:rPr>
        <w:t>Las partidas del activo deben ser analizadas una a una para determinar su clasificación en monetaria o no monetaria para efectos del ajuste.</w:t>
      </w:r>
    </w:p>
    <w:p w:rsidR="00CB558A" w:rsidRPr="00EB0680" w:rsidRDefault="00CB558A" w:rsidP="00940117">
      <w:pPr>
        <w:numPr>
          <w:ilvl w:val="0"/>
          <w:numId w:val="1"/>
        </w:numPr>
        <w:spacing w:line="300" w:lineRule="exact"/>
        <w:jc w:val="both"/>
        <w:rPr>
          <w:rFonts w:ascii="Times New Roman" w:hAnsi="Times New Roman" w:cs="Times New Roman"/>
          <w:sz w:val="22"/>
          <w:szCs w:val="22"/>
        </w:rPr>
      </w:pPr>
      <w:r w:rsidRPr="00EB0680">
        <w:rPr>
          <w:rFonts w:ascii="Times New Roman" w:hAnsi="Times New Roman" w:cs="Times New Roman"/>
          <w:sz w:val="22"/>
          <w:szCs w:val="22"/>
        </w:rPr>
        <w:t>La mayoría de las cuentas del pasivo son monetarias</w:t>
      </w:r>
      <w:r w:rsidR="00032ADE">
        <w:rPr>
          <w:rFonts w:ascii="Times New Roman" w:hAnsi="Times New Roman" w:cs="Times New Roman"/>
          <w:sz w:val="22"/>
          <w:szCs w:val="22"/>
        </w:rPr>
        <w:t xml:space="preserve">, con excepción de los ingresos </w:t>
      </w:r>
      <w:r w:rsidRPr="00EB0680">
        <w:rPr>
          <w:rFonts w:ascii="Times New Roman" w:hAnsi="Times New Roman" w:cs="Times New Roman"/>
          <w:sz w:val="22"/>
          <w:szCs w:val="22"/>
        </w:rPr>
        <w:t>diferidos.</w:t>
      </w:r>
    </w:p>
    <w:p w:rsidR="00CB558A" w:rsidRPr="00EB0680" w:rsidRDefault="00CB558A" w:rsidP="00940117">
      <w:pPr>
        <w:numPr>
          <w:ilvl w:val="0"/>
          <w:numId w:val="1"/>
        </w:numPr>
        <w:spacing w:line="300" w:lineRule="exact"/>
        <w:jc w:val="both"/>
        <w:rPr>
          <w:rFonts w:ascii="Times New Roman" w:hAnsi="Times New Roman" w:cs="Times New Roman"/>
          <w:sz w:val="22"/>
          <w:szCs w:val="22"/>
        </w:rPr>
      </w:pPr>
      <w:r w:rsidRPr="00EB0680">
        <w:rPr>
          <w:rFonts w:ascii="Times New Roman" w:hAnsi="Times New Roman" w:cs="Times New Roman"/>
          <w:sz w:val="22"/>
          <w:szCs w:val="22"/>
        </w:rPr>
        <w:t>Las partidas del patrimonio por  lo general son consideradas de naturaleza no monetaria.</w:t>
      </w:r>
    </w:p>
    <w:p w:rsidR="00CB558A" w:rsidRPr="00EB0680" w:rsidRDefault="00CB558A" w:rsidP="00940117">
      <w:pPr>
        <w:numPr>
          <w:ilvl w:val="0"/>
          <w:numId w:val="1"/>
        </w:numPr>
        <w:spacing w:line="300" w:lineRule="exact"/>
        <w:jc w:val="both"/>
        <w:rPr>
          <w:rFonts w:ascii="Times New Roman" w:hAnsi="Times New Roman" w:cs="Times New Roman"/>
          <w:sz w:val="22"/>
          <w:szCs w:val="22"/>
        </w:rPr>
      </w:pPr>
      <w:r w:rsidRPr="00EB0680">
        <w:rPr>
          <w:rFonts w:ascii="Times New Roman" w:hAnsi="Times New Roman" w:cs="Times New Roman"/>
          <w:sz w:val="22"/>
          <w:szCs w:val="22"/>
        </w:rPr>
        <w:t>En el estado de resultados, las partidas se consideran de naturaleza no monetarias</w:t>
      </w:r>
    </w:p>
    <w:p w:rsidR="00CB558A" w:rsidRDefault="00CB558A" w:rsidP="00EB0680">
      <w:pPr>
        <w:pStyle w:val="Textoindependiente"/>
        <w:spacing w:after="120" w:line="300" w:lineRule="exact"/>
        <w:ind w:firstLine="510"/>
        <w:rPr>
          <w:rFonts w:ascii="Times New Roman" w:eastAsia="Batang" w:hAnsi="Times New Roman" w:cs="Times New Roman"/>
          <w:szCs w:val="20"/>
        </w:rPr>
      </w:pPr>
    </w:p>
    <w:tbl>
      <w:tblPr>
        <w:tblW w:w="85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4489"/>
      </w:tblGrid>
      <w:tr w:rsidR="005A4C4B" w:rsidRPr="00B1146E" w:rsidTr="00B1146E">
        <w:trPr>
          <w:jc w:val="right"/>
        </w:trPr>
        <w:tc>
          <w:tcPr>
            <w:tcW w:w="4030" w:type="dxa"/>
          </w:tcPr>
          <w:p w:rsidR="005A4C4B" w:rsidRPr="00B1146E" w:rsidRDefault="005A4C4B" w:rsidP="00B1146E">
            <w:pPr>
              <w:pStyle w:val="Textoindependiente"/>
              <w:spacing w:line="300" w:lineRule="exact"/>
              <w:rPr>
                <w:rFonts w:ascii="Times New Roman" w:eastAsia="Batang" w:hAnsi="Times New Roman" w:cs="Times New Roman"/>
                <w:szCs w:val="20"/>
              </w:rPr>
            </w:pPr>
            <w:r w:rsidRPr="00B1146E">
              <w:rPr>
                <w:rFonts w:ascii="Times New Roman" w:eastAsia="Batang" w:hAnsi="Times New Roman" w:cs="Times New Roman"/>
                <w:szCs w:val="20"/>
              </w:rPr>
              <w:t>Partidas Monetarias del Estado de Situación</w:t>
            </w:r>
          </w:p>
        </w:tc>
        <w:tc>
          <w:tcPr>
            <w:tcW w:w="4489" w:type="dxa"/>
          </w:tcPr>
          <w:p w:rsidR="005A4C4B" w:rsidRPr="00B1146E" w:rsidRDefault="005A4C4B" w:rsidP="00B1146E">
            <w:pPr>
              <w:pStyle w:val="Textoindependiente"/>
              <w:spacing w:line="300" w:lineRule="exact"/>
              <w:rPr>
                <w:rFonts w:ascii="Times New Roman" w:eastAsia="Batang" w:hAnsi="Times New Roman" w:cs="Times New Roman"/>
                <w:szCs w:val="20"/>
              </w:rPr>
            </w:pPr>
            <w:r w:rsidRPr="00B1146E">
              <w:rPr>
                <w:rFonts w:ascii="Times New Roman" w:eastAsia="Batang" w:hAnsi="Times New Roman" w:cs="Times New Roman"/>
                <w:szCs w:val="20"/>
              </w:rPr>
              <w:t>Partidas N</w:t>
            </w:r>
            <w:r w:rsidR="00206532" w:rsidRPr="00B1146E">
              <w:rPr>
                <w:rFonts w:ascii="Times New Roman" w:eastAsia="Batang" w:hAnsi="Times New Roman" w:cs="Times New Roman"/>
                <w:szCs w:val="20"/>
              </w:rPr>
              <w:t>o</w:t>
            </w:r>
            <w:r w:rsidRPr="00B1146E">
              <w:rPr>
                <w:rFonts w:ascii="Times New Roman" w:eastAsia="Batang" w:hAnsi="Times New Roman" w:cs="Times New Roman"/>
                <w:szCs w:val="20"/>
              </w:rPr>
              <w:t xml:space="preserve"> Monetarias del Estado de Situación</w:t>
            </w:r>
          </w:p>
        </w:tc>
      </w:tr>
      <w:tr w:rsidR="005A4C4B" w:rsidRPr="00B1146E" w:rsidTr="00B1146E">
        <w:trPr>
          <w:jc w:val="right"/>
        </w:trPr>
        <w:tc>
          <w:tcPr>
            <w:tcW w:w="4030" w:type="dxa"/>
          </w:tcPr>
          <w:p w:rsidR="005A4C4B"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Efectivo</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Efectos y cuentas por cobrar</w:t>
            </w:r>
          </w:p>
          <w:p w:rsidR="00206532" w:rsidRPr="00B1146E" w:rsidRDefault="00D061D8"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G</w:t>
            </w:r>
            <w:r w:rsidR="00206532" w:rsidRPr="00B1146E">
              <w:rPr>
                <w:rFonts w:ascii="Times New Roman" w:eastAsia="Batang" w:hAnsi="Times New Roman" w:cs="Times New Roman"/>
                <w:szCs w:val="20"/>
              </w:rPr>
              <w:t>astos pagados por anticipado</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Depósitos dados en garantías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Préstamos bancarios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Efectos y cuentas por pagar</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Gastos acumulados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Prestaciones sociales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Capital social preferente</w:t>
            </w:r>
          </w:p>
        </w:tc>
        <w:tc>
          <w:tcPr>
            <w:tcW w:w="4489" w:type="dxa"/>
          </w:tcPr>
          <w:p w:rsidR="005A4C4B"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Inventarios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Propiedad, planta y equipos</w:t>
            </w:r>
          </w:p>
          <w:p w:rsidR="00D061D8" w:rsidRPr="00B1146E" w:rsidRDefault="00D061D8"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Gastos pagados por anticipado</w:t>
            </w:r>
          </w:p>
          <w:p w:rsidR="00206532" w:rsidRPr="00B1146E" w:rsidRDefault="00D061D8"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I</w:t>
            </w:r>
            <w:r w:rsidR="00206532" w:rsidRPr="00B1146E">
              <w:rPr>
                <w:rFonts w:ascii="Times New Roman" w:eastAsia="Batang" w:hAnsi="Times New Roman" w:cs="Times New Roman"/>
                <w:szCs w:val="20"/>
              </w:rPr>
              <w:t>ngresos cobrados por anticipados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Capital social</w:t>
            </w:r>
            <w:r w:rsidR="00D150B8" w:rsidRPr="00B1146E">
              <w:rPr>
                <w:rFonts w:ascii="Times New Roman" w:eastAsia="Batang" w:hAnsi="Times New Roman" w:cs="Times New Roman"/>
                <w:szCs w:val="20"/>
              </w:rPr>
              <w:t xml:space="preserve"> común</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Reservas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Utilidades no distribuidas</w:t>
            </w:r>
          </w:p>
        </w:tc>
      </w:tr>
      <w:tr w:rsidR="00032ADE" w:rsidRPr="00B1146E" w:rsidTr="00B1146E">
        <w:trPr>
          <w:jc w:val="right"/>
        </w:trPr>
        <w:tc>
          <w:tcPr>
            <w:tcW w:w="8519" w:type="dxa"/>
            <w:gridSpan w:val="2"/>
          </w:tcPr>
          <w:p w:rsidR="00032ADE" w:rsidRPr="00B1146E" w:rsidRDefault="00032ADE" w:rsidP="00B1146E">
            <w:pPr>
              <w:pStyle w:val="Textoindependiente"/>
              <w:spacing w:line="300" w:lineRule="exact"/>
              <w:jc w:val="center"/>
              <w:rPr>
                <w:rFonts w:ascii="Times New Roman" w:eastAsia="Batang" w:hAnsi="Times New Roman" w:cs="Times New Roman"/>
                <w:szCs w:val="20"/>
              </w:rPr>
            </w:pPr>
            <w:r w:rsidRPr="00B1146E">
              <w:rPr>
                <w:rFonts w:ascii="Times New Roman" w:eastAsia="Batang" w:hAnsi="Times New Roman" w:cs="Times New Roman"/>
                <w:szCs w:val="20"/>
              </w:rPr>
              <w:t>Partidas No Monetarias del Estado de Resultados</w:t>
            </w:r>
          </w:p>
        </w:tc>
      </w:tr>
      <w:tr w:rsidR="00206532" w:rsidRPr="00B1146E" w:rsidTr="00B1146E">
        <w:trPr>
          <w:jc w:val="right"/>
        </w:trPr>
        <w:tc>
          <w:tcPr>
            <w:tcW w:w="4030" w:type="dxa"/>
          </w:tcPr>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Ventas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Descuento en Ventas</w:t>
            </w:r>
          </w:p>
          <w:p w:rsidR="00032ADE" w:rsidRPr="00B1146E" w:rsidRDefault="00032ADE"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Costo de Ventas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Gastos de operación que no provengan de partidas no monetarias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Ingreso por intereses</w:t>
            </w:r>
          </w:p>
        </w:tc>
        <w:tc>
          <w:tcPr>
            <w:tcW w:w="4489" w:type="dxa"/>
          </w:tcPr>
          <w:p w:rsidR="00032ADE" w:rsidRPr="00B1146E" w:rsidRDefault="00032ADE"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Gastos por Intereses</w:t>
            </w:r>
          </w:p>
          <w:p w:rsidR="00032ADE" w:rsidRPr="00B1146E" w:rsidRDefault="00032ADE"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Gasto de Impuesto sobre a renta</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Gastos por depreciación</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Gastos por amortización de diferidos</w:t>
            </w:r>
          </w:p>
          <w:p w:rsidR="00206532" w:rsidRPr="00B1146E" w:rsidRDefault="00206532" w:rsidP="00B1146E">
            <w:pPr>
              <w:pStyle w:val="Textoindependiente"/>
              <w:spacing w:line="260" w:lineRule="exact"/>
              <w:rPr>
                <w:rFonts w:ascii="Times New Roman" w:eastAsia="Batang" w:hAnsi="Times New Roman" w:cs="Times New Roman"/>
                <w:szCs w:val="20"/>
              </w:rPr>
            </w:pPr>
            <w:r w:rsidRPr="00B1146E">
              <w:rPr>
                <w:rFonts w:ascii="Times New Roman" w:eastAsia="Batang" w:hAnsi="Times New Roman" w:cs="Times New Roman"/>
                <w:szCs w:val="20"/>
              </w:rPr>
              <w:t>Gastos por amortización de prepagados no monetarios</w:t>
            </w:r>
          </w:p>
        </w:tc>
      </w:tr>
    </w:tbl>
    <w:p w:rsidR="005A4C4B" w:rsidRPr="00B4363A" w:rsidRDefault="00206532" w:rsidP="00206532">
      <w:pPr>
        <w:pStyle w:val="Textoindependiente"/>
        <w:spacing w:after="120" w:line="300" w:lineRule="exact"/>
        <w:ind w:firstLine="510"/>
        <w:jc w:val="center"/>
        <w:rPr>
          <w:rFonts w:ascii="Times New Roman" w:eastAsia="Batang" w:hAnsi="Times New Roman" w:cs="Times New Roman"/>
          <w:szCs w:val="20"/>
        </w:rPr>
      </w:pPr>
      <w:r>
        <w:rPr>
          <w:rFonts w:ascii="Times New Roman" w:eastAsia="Batang" w:hAnsi="Times New Roman" w:cs="Times New Roman"/>
          <w:szCs w:val="20"/>
        </w:rPr>
        <w:t>Elaboración del autor a partir de Catacora (2.001)</w:t>
      </w:r>
    </w:p>
    <w:p w:rsidR="00AA5575" w:rsidRPr="00EB0680" w:rsidRDefault="00AA5575" w:rsidP="00D061D8">
      <w:pPr>
        <w:pStyle w:val="Textoindependiente"/>
        <w:spacing w:after="120" w:line="300" w:lineRule="exact"/>
        <w:ind w:firstLine="510"/>
        <w:rPr>
          <w:rFonts w:ascii="Times New Roman" w:eastAsia="Batang" w:hAnsi="Times New Roman" w:cs="Times New Roman"/>
          <w:sz w:val="22"/>
          <w:szCs w:val="22"/>
        </w:rPr>
      </w:pPr>
      <w:r w:rsidRPr="00EB0680">
        <w:rPr>
          <w:rFonts w:ascii="Times New Roman" w:eastAsia="Batang" w:hAnsi="Times New Roman" w:cs="Times New Roman"/>
          <w:sz w:val="22"/>
          <w:szCs w:val="22"/>
        </w:rPr>
        <w:lastRenderedPageBreak/>
        <w:t xml:space="preserve">En las partidas monetarias, el valor histórico se representa por un valor </w:t>
      </w:r>
      <w:r w:rsidR="00D061D8">
        <w:rPr>
          <w:rFonts w:ascii="Times New Roman" w:eastAsia="Batang" w:hAnsi="Times New Roman" w:cs="Times New Roman"/>
          <w:sz w:val="22"/>
          <w:szCs w:val="22"/>
        </w:rPr>
        <w:t xml:space="preserve">nominal fijo, constante, </w:t>
      </w:r>
      <w:r w:rsidRPr="00EB0680">
        <w:rPr>
          <w:rFonts w:ascii="Times New Roman" w:eastAsia="Batang" w:hAnsi="Times New Roman" w:cs="Times New Roman"/>
          <w:sz w:val="22"/>
          <w:szCs w:val="22"/>
        </w:rPr>
        <w:t>y una parte de ese valor se pierde o se gana por efectos de la inflación. Esa pérdida o ganancia de valor por efectos de la inflación, se conoce como resultado monetario de la partida, que es uno de los elementos para determinar el resultado que se incluirá en el estado de ganancias y pérdidas.</w:t>
      </w:r>
      <w:r w:rsidR="00D061D8">
        <w:rPr>
          <w:rFonts w:ascii="Times New Roman" w:eastAsia="Batang" w:hAnsi="Times New Roman" w:cs="Times New Roman"/>
          <w:sz w:val="22"/>
          <w:szCs w:val="22"/>
        </w:rPr>
        <w:t xml:space="preserve"> </w:t>
      </w:r>
      <w:r w:rsidR="00D061D8" w:rsidRPr="00EB0680">
        <w:rPr>
          <w:rFonts w:ascii="Times New Roman" w:eastAsia="Batang" w:hAnsi="Times New Roman" w:cs="Times New Roman"/>
          <w:sz w:val="22"/>
          <w:szCs w:val="22"/>
        </w:rPr>
        <w:t>La ganancia o pérdida monetaria es la consecuencia de exponer la posición monetaria neta de una entidad a lo largo de un período de fluctuaciones en el poder adquisitivo del dinero.</w:t>
      </w:r>
      <w:r w:rsidR="00D061D8">
        <w:rPr>
          <w:rFonts w:ascii="Times New Roman" w:eastAsia="Batang" w:hAnsi="Times New Roman" w:cs="Times New Roman"/>
          <w:sz w:val="22"/>
          <w:szCs w:val="22"/>
        </w:rPr>
        <w:t xml:space="preserve"> </w:t>
      </w:r>
      <w:r w:rsidR="00D061D8" w:rsidRPr="00EB0680">
        <w:rPr>
          <w:rFonts w:ascii="Times New Roman" w:eastAsia="Batang" w:hAnsi="Times New Roman" w:cs="Times New Roman"/>
          <w:sz w:val="22"/>
          <w:szCs w:val="22"/>
        </w:rPr>
        <w:t>Existe una posición monetaria neta activa, cuando los activos monetarios superan a los pasivos monetarios y una posición monetaria neta pasiva, cuando los pasivos monetarios superan a los activos monetarios</w:t>
      </w:r>
      <w:r w:rsidR="00D150B8">
        <w:rPr>
          <w:rFonts w:ascii="Times New Roman" w:eastAsia="Batang" w:hAnsi="Times New Roman" w:cs="Times New Roman"/>
          <w:sz w:val="22"/>
          <w:szCs w:val="22"/>
        </w:rPr>
        <w:t xml:space="preserve"> (parágrafo 40 DPC 10</w:t>
      </w:r>
      <w:r w:rsidR="00921DF2">
        <w:rPr>
          <w:rFonts w:ascii="Times New Roman" w:eastAsia="Batang" w:hAnsi="Times New Roman" w:cs="Times New Roman"/>
          <w:sz w:val="22"/>
          <w:szCs w:val="22"/>
        </w:rPr>
        <w:t>; 9</w:t>
      </w:r>
      <w:r w:rsidR="00C81B97">
        <w:rPr>
          <w:rFonts w:ascii="Times New Roman" w:eastAsia="Batang" w:hAnsi="Times New Roman" w:cs="Times New Roman"/>
          <w:sz w:val="22"/>
          <w:szCs w:val="22"/>
        </w:rPr>
        <w:t xml:space="preserve">, 27 y 28 </w:t>
      </w:r>
      <w:r w:rsidR="00921DF2">
        <w:rPr>
          <w:rFonts w:ascii="Times New Roman" w:eastAsia="Batang" w:hAnsi="Times New Roman" w:cs="Times New Roman"/>
          <w:sz w:val="22"/>
          <w:szCs w:val="22"/>
        </w:rPr>
        <w:t xml:space="preserve"> NIC 29</w:t>
      </w:r>
      <w:r w:rsidR="00D150B8">
        <w:rPr>
          <w:rFonts w:ascii="Times New Roman" w:eastAsia="Batang" w:hAnsi="Times New Roman" w:cs="Times New Roman"/>
          <w:sz w:val="22"/>
          <w:szCs w:val="22"/>
        </w:rPr>
        <w:t>)</w:t>
      </w:r>
    </w:p>
    <w:p w:rsidR="00AA5575" w:rsidRPr="00EB0680" w:rsidRDefault="00AA5575" w:rsidP="00D061D8">
      <w:pPr>
        <w:pStyle w:val="Textoindependiente"/>
        <w:spacing w:after="120" w:line="300" w:lineRule="exact"/>
        <w:ind w:firstLine="510"/>
        <w:rPr>
          <w:rFonts w:ascii="Times New Roman" w:eastAsia="Batang" w:hAnsi="Times New Roman" w:cs="Times New Roman"/>
          <w:sz w:val="22"/>
          <w:szCs w:val="22"/>
        </w:rPr>
      </w:pPr>
      <w:r w:rsidRPr="00EB0680">
        <w:rPr>
          <w:rFonts w:ascii="Times New Roman" w:eastAsia="Batang" w:hAnsi="Times New Roman" w:cs="Times New Roman"/>
          <w:sz w:val="22"/>
          <w:szCs w:val="22"/>
        </w:rPr>
        <w:t>Cuando se trata de partidas no monetarias, se da el efecto contrario al mantener esta su valor o</w:t>
      </w:r>
      <w:r w:rsidR="00D061D8">
        <w:rPr>
          <w:rFonts w:ascii="Times New Roman" w:eastAsia="Batang" w:hAnsi="Times New Roman" w:cs="Times New Roman"/>
          <w:sz w:val="22"/>
          <w:szCs w:val="22"/>
        </w:rPr>
        <w:t xml:space="preserve"> incrementarlo</w:t>
      </w:r>
      <w:r w:rsidRPr="00EB0680">
        <w:rPr>
          <w:rFonts w:ascii="Times New Roman" w:eastAsia="Batang" w:hAnsi="Times New Roman" w:cs="Times New Roman"/>
          <w:sz w:val="22"/>
          <w:szCs w:val="22"/>
        </w:rPr>
        <w:t xml:space="preserve"> por efectos de la inflación. El valor histórico difiere</w:t>
      </w:r>
      <w:r w:rsidR="00D061D8">
        <w:rPr>
          <w:rFonts w:ascii="Times New Roman" w:eastAsia="Batang" w:hAnsi="Times New Roman" w:cs="Times New Roman"/>
          <w:sz w:val="22"/>
          <w:szCs w:val="22"/>
        </w:rPr>
        <w:t>, entonces,</w:t>
      </w:r>
      <w:r w:rsidRPr="00EB0680">
        <w:rPr>
          <w:rFonts w:ascii="Times New Roman" w:eastAsia="Batang" w:hAnsi="Times New Roman" w:cs="Times New Roman"/>
          <w:sz w:val="22"/>
          <w:szCs w:val="22"/>
        </w:rPr>
        <w:t xml:space="preserve"> del valor real de la partida en términos constantes y se genera un incremento </w:t>
      </w:r>
      <w:r w:rsidR="00D061D8">
        <w:rPr>
          <w:rFonts w:ascii="Times New Roman" w:eastAsia="Batang" w:hAnsi="Times New Roman" w:cs="Times New Roman"/>
          <w:sz w:val="22"/>
          <w:szCs w:val="22"/>
        </w:rPr>
        <w:t>en su</w:t>
      </w:r>
      <w:r w:rsidRPr="00EB0680">
        <w:rPr>
          <w:rFonts w:ascii="Times New Roman" w:eastAsia="Batang" w:hAnsi="Times New Roman" w:cs="Times New Roman"/>
          <w:sz w:val="22"/>
          <w:szCs w:val="22"/>
        </w:rPr>
        <w:t xml:space="preserve"> valor</w:t>
      </w:r>
      <w:r w:rsidR="00D061D8">
        <w:rPr>
          <w:rFonts w:ascii="Times New Roman" w:eastAsia="Batang" w:hAnsi="Times New Roman" w:cs="Times New Roman"/>
          <w:sz w:val="22"/>
          <w:szCs w:val="22"/>
        </w:rPr>
        <w:t xml:space="preserve"> o un resultado por tenencia</w:t>
      </w:r>
      <w:r w:rsidRPr="00EB0680">
        <w:rPr>
          <w:rFonts w:ascii="Times New Roman" w:eastAsia="Batang" w:hAnsi="Times New Roman" w:cs="Times New Roman"/>
          <w:sz w:val="22"/>
          <w:szCs w:val="22"/>
        </w:rPr>
        <w:t>.</w:t>
      </w:r>
    </w:p>
    <w:p w:rsidR="00AA5575" w:rsidRPr="00B4363A" w:rsidRDefault="00AA5575" w:rsidP="002C6F5D">
      <w:pPr>
        <w:pStyle w:val="Textoindependiente"/>
        <w:spacing w:line="300" w:lineRule="exact"/>
        <w:rPr>
          <w:rFonts w:ascii="Times New Roman" w:eastAsia="Batang" w:hAnsi="Times New Roman" w:cs="Times New Roman"/>
          <w:szCs w:val="20"/>
        </w:rPr>
      </w:pPr>
    </w:p>
    <w:p w:rsidR="00DB2363" w:rsidRPr="00001120" w:rsidRDefault="00DB2363" w:rsidP="002C6F5D">
      <w:pPr>
        <w:spacing w:line="300" w:lineRule="exact"/>
        <w:jc w:val="both"/>
        <w:rPr>
          <w:rFonts w:ascii="Times New Roman" w:hAnsi="Times New Roman" w:cs="Times New Roman"/>
          <w:i/>
          <w:sz w:val="22"/>
          <w:szCs w:val="22"/>
        </w:rPr>
      </w:pPr>
      <w:r w:rsidRPr="00001120">
        <w:rPr>
          <w:rFonts w:ascii="Times New Roman" w:hAnsi="Times New Roman" w:cs="Times New Roman"/>
          <w:i/>
          <w:sz w:val="22"/>
          <w:szCs w:val="22"/>
        </w:rPr>
        <w:t>Cuentas de Activo</w:t>
      </w:r>
    </w:p>
    <w:p w:rsidR="00DB2363" w:rsidRPr="00B4363A" w:rsidRDefault="00DB2363" w:rsidP="002C6F5D">
      <w:pPr>
        <w:spacing w:line="300" w:lineRule="exact"/>
        <w:jc w:val="both"/>
        <w:rPr>
          <w:rFonts w:ascii="Times New Roman" w:hAnsi="Times New Roman" w:cs="Times New Roman"/>
          <w:sz w:val="16"/>
          <w:szCs w:val="16"/>
        </w:rPr>
      </w:pPr>
    </w:p>
    <w:p w:rsidR="00463415" w:rsidRPr="00EF014F" w:rsidRDefault="00463415" w:rsidP="00EF014F">
      <w:pPr>
        <w:pStyle w:val="Textoindependiente"/>
        <w:tabs>
          <w:tab w:val="left" w:pos="720"/>
        </w:tabs>
        <w:spacing w:after="120" w:line="300" w:lineRule="exact"/>
        <w:ind w:firstLine="510"/>
        <w:rPr>
          <w:rFonts w:ascii="Times New Roman" w:eastAsia="Batang" w:hAnsi="Times New Roman" w:cs="Times New Roman"/>
          <w:sz w:val="22"/>
          <w:szCs w:val="22"/>
        </w:rPr>
      </w:pPr>
      <w:r w:rsidRPr="00EF014F">
        <w:rPr>
          <w:rFonts w:ascii="Times New Roman" w:hAnsi="Times New Roman" w:cs="Times New Roman"/>
        </w:rPr>
        <w:t>L</w:t>
      </w:r>
      <w:r w:rsidR="00DB2363" w:rsidRPr="00EF014F">
        <w:rPr>
          <w:rFonts w:ascii="Times New Roman" w:hAnsi="Times New Roman" w:cs="Times New Roman"/>
        </w:rPr>
        <w:t>as cuenta</w:t>
      </w:r>
      <w:r w:rsidR="001D094D" w:rsidRPr="00EF014F">
        <w:rPr>
          <w:rFonts w:ascii="Times New Roman" w:hAnsi="Times New Roman" w:cs="Times New Roman"/>
        </w:rPr>
        <w:t>s</w:t>
      </w:r>
      <w:r w:rsidR="00DB2363" w:rsidRPr="00EF014F">
        <w:rPr>
          <w:rFonts w:ascii="Times New Roman" w:hAnsi="Times New Roman" w:cs="Times New Roman"/>
        </w:rPr>
        <w:t xml:space="preserve"> de </w:t>
      </w:r>
      <w:r w:rsidR="00EF014F" w:rsidRPr="00EF014F">
        <w:rPr>
          <w:rFonts w:ascii="Times New Roman" w:eastAsia="Batang" w:hAnsi="Times New Roman" w:cs="Times New Roman"/>
          <w:sz w:val="22"/>
          <w:szCs w:val="22"/>
        </w:rPr>
        <w:t>disponibilidades</w:t>
      </w:r>
      <w:r w:rsidR="00DB2363" w:rsidRPr="00EF014F">
        <w:rPr>
          <w:rFonts w:ascii="Times New Roman" w:eastAsia="Batang" w:hAnsi="Times New Roman" w:cs="Times New Roman"/>
          <w:sz w:val="22"/>
          <w:szCs w:val="22"/>
        </w:rPr>
        <w:t xml:space="preserve"> </w:t>
      </w:r>
      <w:r w:rsidR="00EF014F" w:rsidRPr="00EF014F">
        <w:rPr>
          <w:rFonts w:ascii="Times New Roman" w:eastAsia="Batang" w:hAnsi="Times New Roman" w:cs="Times New Roman"/>
          <w:sz w:val="22"/>
          <w:szCs w:val="22"/>
        </w:rPr>
        <w:t xml:space="preserve">tales como </w:t>
      </w:r>
      <w:r w:rsidR="00EF014F">
        <w:rPr>
          <w:rFonts w:ascii="Times New Roman" w:eastAsia="Batang" w:hAnsi="Times New Roman" w:cs="Times New Roman"/>
          <w:sz w:val="22"/>
          <w:szCs w:val="22"/>
        </w:rPr>
        <w:t>c</w:t>
      </w:r>
      <w:r w:rsidR="001D094D" w:rsidRPr="00EF014F">
        <w:rPr>
          <w:rFonts w:ascii="Times New Roman" w:eastAsia="Batang" w:hAnsi="Times New Roman" w:cs="Times New Roman"/>
          <w:sz w:val="22"/>
          <w:szCs w:val="22"/>
        </w:rPr>
        <w:t>aja</w:t>
      </w:r>
      <w:r w:rsidR="00EF014F" w:rsidRPr="00EF014F">
        <w:rPr>
          <w:rFonts w:ascii="Times New Roman" w:eastAsia="Batang" w:hAnsi="Times New Roman" w:cs="Times New Roman"/>
          <w:sz w:val="22"/>
          <w:szCs w:val="22"/>
        </w:rPr>
        <w:t xml:space="preserve"> y bancos, fondos fijos,</w:t>
      </w:r>
      <w:r w:rsidR="00DB2363" w:rsidRPr="00EF014F">
        <w:rPr>
          <w:rFonts w:ascii="Times New Roman" w:eastAsia="Batang" w:hAnsi="Times New Roman" w:cs="Times New Roman"/>
          <w:sz w:val="22"/>
          <w:szCs w:val="22"/>
        </w:rPr>
        <w:t xml:space="preserve"> son partidas monetarias ya que no mantienen </w:t>
      </w:r>
      <w:r w:rsidR="00EF014F" w:rsidRPr="00EF014F">
        <w:rPr>
          <w:rFonts w:ascii="Times New Roman" w:eastAsia="Batang" w:hAnsi="Times New Roman" w:cs="Times New Roman"/>
          <w:sz w:val="22"/>
          <w:szCs w:val="22"/>
        </w:rPr>
        <w:t>el</w:t>
      </w:r>
      <w:r w:rsidR="00DB2363" w:rsidRPr="00EF014F">
        <w:rPr>
          <w:rFonts w:ascii="Times New Roman" w:eastAsia="Batang" w:hAnsi="Times New Roman" w:cs="Times New Roman"/>
          <w:sz w:val="22"/>
          <w:szCs w:val="22"/>
        </w:rPr>
        <w:t xml:space="preserve"> poder </w:t>
      </w:r>
      <w:r w:rsidR="00EF014F" w:rsidRPr="00EF014F">
        <w:rPr>
          <w:rFonts w:ascii="Times New Roman" w:eastAsia="Batang" w:hAnsi="Times New Roman" w:cs="Times New Roman"/>
          <w:sz w:val="22"/>
          <w:szCs w:val="22"/>
        </w:rPr>
        <w:t>adquisitivo</w:t>
      </w:r>
      <w:r w:rsidR="00DB2363" w:rsidRPr="00EF014F">
        <w:rPr>
          <w:rFonts w:ascii="Times New Roman" w:eastAsia="Batang" w:hAnsi="Times New Roman" w:cs="Times New Roman"/>
          <w:sz w:val="22"/>
          <w:szCs w:val="22"/>
        </w:rPr>
        <w:t xml:space="preserve"> constante</w:t>
      </w:r>
      <w:r w:rsidR="00EF014F" w:rsidRPr="00EF014F">
        <w:rPr>
          <w:rFonts w:ascii="Times New Roman" w:eastAsia="Batang" w:hAnsi="Times New Roman" w:cs="Times New Roman"/>
          <w:sz w:val="22"/>
          <w:szCs w:val="22"/>
        </w:rPr>
        <w:t>, disminuye a medida que la inflación aumenta</w:t>
      </w:r>
      <w:r w:rsidR="00DB2363" w:rsidRPr="00EF014F">
        <w:rPr>
          <w:rFonts w:ascii="Times New Roman" w:eastAsia="Batang" w:hAnsi="Times New Roman" w:cs="Times New Roman"/>
          <w:sz w:val="22"/>
          <w:szCs w:val="22"/>
        </w:rPr>
        <w:t>.</w:t>
      </w:r>
      <w:r w:rsidR="00EF014F" w:rsidRPr="00EF014F">
        <w:rPr>
          <w:rFonts w:ascii="Times New Roman" w:eastAsia="Batang" w:hAnsi="Times New Roman" w:cs="Times New Roman"/>
          <w:sz w:val="22"/>
          <w:szCs w:val="22"/>
        </w:rPr>
        <w:t xml:space="preserve"> </w:t>
      </w:r>
      <w:r w:rsidR="00DB2363" w:rsidRPr="00EF014F">
        <w:rPr>
          <w:rFonts w:ascii="Times New Roman" w:eastAsia="Batang" w:hAnsi="Times New Roman" w:cs="Times New Roman"/>
          <w:sz w:val="22"/>
          <w:szCs w:val="22"/>
        </w:rPr>
        <w:t xml:space="preserve">Las </w:t>
      </w:r>
      <w:r w:rsidR="00EF014F">
        <w:rPr>
          <w:rFonts w:ascii="Times New Roman" w:eastAsia="Batang" w:hAnsi="Times New Roman" w:cs="Times New Roman"/>
          <w:sz w:val="22"/>
          <w:szCs w:val="22"/>
        </w:rPr>
        <w:t xml:space="preserve">cuentas por cobrar </w:t>
      </w:r>
      <w:r w:rsidR="00DB2363" w:rsidRPr="00EF014F">
        <w:rPr>
          <w:rFonts w:ascii="Times New Roman" w:eastAsia="Batang" w:hAnsi="Times New Roman" w:cs="Times New Roman"/>
          <w:sz w:val="22"/>
          <w:szCs w:val="22"/>
        </w:rPr>
        <w:t>en moneda extranjera deben co</w:t>
      </w:r>
      <w:r w:rsidRPr="00EF014F">
        <w:rPr>
          <w:rFonts w:ascii="Times New Roman" w:eastAsia="Batang" w:hAnsi="Times New Roman" w:cs="Times New Roman"/>
          <w:sz w:val="22"/>
          <w:szCs w:val="22"/>
        </w:rPr>
        <w:t xml:space="preserve">nsiderarse partidas </w:t>
      </w:r>
      <w:r w:rsidR="00DB2363" w:rsidRPr="00EF014F">
        <w:rPr>
          <w:rFonts w:ascii="Times New Roman" w:eastAsia="Batang" w:hAnsi="Times New Roman" w:cs="Times New Roman"/>
          <w:sz w:val="22"/>
          <w:szCs w:val="22"/>
        </w:rPr>
        <w:t>monetarias.</w:t>
      </w:r>
      <w:r w:rsidR="00EF014F">
        <w:rPr>
          <w:rFonts w:ascii="Times New Roman" w:eastAsia="Batang" w:hAnsi="Times New Roman" w:cs="Times New Roman"/>
          <w:sz w:val="22"/>
          <w:szCs w:val="22"/>
        </w:rPr>
        <w:t xml:space="preserve"> Estas partidas</w:t>
      </w:r>
      <w:r w:rsidRPr="00EF014F">
        <w:rPr>
          <w:rFonts w:ascii="Times New Roman" w:eastAsia="Batang" w:hAnsi="Times New Roman" w:cs="Times New Roman"/>
          <w:sz w:val="22"/>
          <w:szCs w:val="22"/>
        </w:rPr>
        <w:t xml:space="preserve"> se ajusta</w:t>
      </w:r>
      <w:r w:rsidR="00EF014F">
        <w:rPr>
          <w:rFonts w:ascii="Times New Roman" w:eastAsia="Batang" w:hAnsi="Times New Roman" w:cs="Times New Roman"/>
          <w:sz w:val="22"/>
          <w:szCs w:val="22"/>
        </w:rPr>
        <w:t>n</w:t>
      </w:r>
      <w:r w:rsidRPr="00EF014F">
        <w:rPr>
          <w:rFonts w:ascii="Times New Roman" w:eastAsia="Batang" w:hAnsi="Times New Roman" w:cs="Times New Roman"/>
          <w:sz w:val="22"/>
          <w:szCs w:val="22"/>
        </w:rPr>
        <w:t xml:space="preserve"> con el tipo de cambio a la fecha del </w:t>
      </w:r>
      <w:r w:rsidR="001F2759" w:rsidRPr="00EF014F">
        <w:rPr>
          <w:rFonts w:ascii="Times New Roman" w:eastAsia="Batang" w:hAnsi="Times New Roman" w:cs="Times New Roman"/>
          <w:sz w:val="22"/>
          <w:szCs w:val="22"/>
        </w:rPr>
        <w:t>Estado de Situación</w:t>
      </w:r>
      <w:r w:rsidRPr="00EF014F">
        <w:rPr>
          <w:rFonts w:ascii="Times New Roman" w:eastAsia="Batang" w:hAnsi="Times New Roman" w:cs="Times New Roman"/>
          <w:sz w:val="22"/>
          <w:szCs w:val="22"/>
        </w:rPr>
        <w:t xml:space="preserve">. Por tratarse de partidas monetarias, en el proceso de reexpresión, para efectos comparativos, los saldos en moneda extranjera en los </w:t>
      </w:r>
      <w:r w:rsidR="00EF014F">
        <w:rPr>
          <w:rFonts w:ascii="Times New Roman" w:eastAsia="Batang" w:hAnsi="Times New Roman" w:cs="Times New Roman"/>
          <w:sz w:val="22"/>
          <w:szCs w:val="22"/>
        </w:rPr>
        <w:t>estados de situación</w:t>
      </w:r>
      <w:r w:rsidRPr="00EF014F">
        <w:rPr>
          <w:rFonts w:ascii="Times New Roman" w:eastAsia="Batang" w:hAnsi="Times New Roman" w:cs="Times New Roman"/>
          <w:sz w:val="22"/>
          <w:szCs w:val="22"/>
        </w:rPr>
        <w:t xml:space="preserve"> de cierres anteriores, deben estar ajustados a los tipos de cambio a la fecha de su cierre respectivo, se reajustan con la variación en el </w:t>
      </w:r>
      <w:r w:rsidR="007927DF" w:rsidRPr="00EF014F">
        <w:rPr>
          <w:rFonts w:ascii="Times New Roman" w:eastAsia="Batang" w:hAnsi="Times New Roman" w:cs="Times New Roman"/>
          <w:sz w:val="22"/>
          <w:szCs w:val="22"/>
        </w:rPr>
        <w:t>INPC</w:t>
      </w:r>
      <w:r w:rsidRPr="00EF014F">
        <w:rPr>
          <w:rFonts w:ascii="Times New Roman" w:eastAsia="Batang" w:hAnsi="Times New Roman" w:cs="Times New Roman"/>
          <w:sz w:val="22"/>
          <w:szCs w:val="22"/>
        </w:rPr>
        <w:t xml:space="preserve"> desde esas fechas hasta la fecha de cierre actual. Esto significa que en el cierre de un ejercicio determinado, los saldos de las partidas en moneda extranjera al comienzo del mismo (cierre del ejercicio anterior), primero se ajustan a la fecha de cierre de ese ejercicio anterior con el tipo de cambio a esa fecha y después se reajustan con la variación del </w:t>
      </w:r>
      <w:r w:rsidR="007927DF" w:rsidRPr="00EF014F">
        <w:rPr>
          <w:rFonts w:ascii="Times New Roman" w:eastAsia="Batang" w:hAnsi="Times New Roman" w:cs="Times New Roman"/>
          <w:sz w:val="22"/>
          <w:szCs w:val="22"/>
        </w:rPr>
        <w:t>INPC</w:t>
      </w:r>
      <w:r w:rsidRPr="00EF014F">
        <w:rPr>
          <w:rFonts w:ascii="Times New Roman" w:eastAsia="Batang" w:hAnsi="Times New Roman" w:cs="Times New Roman"/>
          <w:sz w:val="22"/>
          <w:szCs w:val="22"/>
        </w:rPr>
        <w:t xml:space="preserve"> durante el ejercicio en curso, mientras que los saldos de las partidas en moneda extranjera al cierre del ejercicio en curso, se ajustan con el tipo de cambio al final del ejercicio.</w:t>
      </w:r>
    </w:p>
    <w:p w:rsidR="00EF014F" w:rsidRDefault="00EF014F" w:rsidP="001B3089">
      <w:pPr>
        <w:pStyle w:val="Textoindependiente"/>
        <w:tabs>
          <w:tab w:val="left" w:pos="720"/>
        </w:tabs>
        <w:spacing w:after="120" w:line="300" w:lineRule="exact"/>
        <w:ind w:firstLine="510"/>
        <w:rPr>
          <w:rFonts w:ascii="Times New Roman" w:hAnsi="Times New Roman" w:cs="Times New Roman"/>
          <w:sz w:val="22"/>
          <w:szCs w:val="22"/>
        </w:rPr>
      </w:pPr>
      <w:r w:rsidRPr="00001120">
        <w:rPr>
          <w:rFonts w:ascii="Times New Roman" w:hAnsi="Times New Roman" w:cs="Times New Roman"/>
          <w:sz w:val="22"/>
          <w:szCs w:val="22"/>
        </w:rPr>
        <w:t>Las inversiones temporales en valores negocia</w:t>
      </w:r>
      <w:r>
        <w:rPr>
          <w:rFonts w:ascii="Times New Roman" w:hAnsi="Times New Roman" w:cs="Times New Roman"/>
          <w:sz w:val="22"/>
          <w:szCs w:val="22"/>
        </w:rPr>
        <w:t>bles disponibles para la venta consideradas equivalentes de efectivo</w:t>
      </w:r>
      <w:r w:rsidRPr="00001120">
        <w:rPr>
          <w:rFonts w:ascii="Times New Roman" w:hAnsi="Times New Roman" w:cs="Times New Roman"/>
          <w:sz w:val="22"/>
          <w:szCs w:val="22"/>
        </w:rPr>
        <w:t xml:space="preserve"> y las conservadas hasta su vencimiento se consideran como partidas monetarias.</w:t>
      </w:r>
    </w:p>
    <w:p w:rsidR="00DB2363" w:rsidRPr="00001120" w:rsidRDefault="00DB2363" w:rsidP="001B3089">
      <w:pPr>
        <w:pStyle w:val="Textoindependiente"/>
        <w:tabs>
          <w:tab w:val="left" w:pos="720"/>
        </w:tabs>
        <w:spacing w:after="120" w:line="300" w:lineRule="exact"/>
        <w:ind w:firstLine="510"/>
        <w:rPr>
          <w:rFonts w:ascii="Times New Roman" w:hAnsi="Times New Roman" w:cs="Times New Roman"/>
          <w:sz w:val="22"/>
          <w:szCs w:val="22"/>
        </w:rPr>
      </w:pPr>
      <w:r w:rsidRPr="00001120">
        <w:rPr>
          <w:rFonts w:ascii="Times New Roman" w:hAnsi="Times New Roman" w:cs="Times New Roman"/>
          <w:sz w:val="22"/>
          <w:szCs w:val="22"/>
        </w:rPr>
        <w:t>Los efectos por cobrar, cuentas por cobrar comerciales y no comerciales y los anticipos dados</w:t>
      </w:r>
      <w:r w:rsidR="00EF014F">
        <w:rPr>
          <w:rFonts w:ascii="Times New Roman" w:hAnsi="Times New Roman" w:cs="Times New Roman"/>
          <w:sz w:val="22"/>
          <w:szCs w:val="22"/>
        </w:rPr>
        <w:t xml:space="preserve"> </w:t>
      </w:r>
      <w:r w:rsidRPr="00001120">
        <w:rPr>
          <w:rFonts w:ascii="Times New Roman" w:hAnsi="Times New Roman" w:cs="Times New Roman"/>
          <w:sz w:val="22"/>
          <w:szCs w:val="22"/>
        </w:rPr>
        <w:t>a cuenta de contratos</w:t>
      </w:r>
      <w:r w:rsidR="00032ADE">
        <w:rPr>
          <w:rFonts w:ascii="Times New Roman" w:hAnsi="Times New Roman" w:cs="Times New Roman"/>
          <w:sz w:val="22"/>
          <w:szCs w:val="22"/>
        </w:rPr>
        <w:t xml:space="preserve"> futuros</w:t>
      </w:r>
      <w:r w:rsidRPr="00001120">
        <w:rPr>
          <w:rFonts w:ascii="Times New Roman" w:hAnsi="Times New Roman" w:cs="Times New Roman"/>
          <w:sz w:val="22"/>
          <w:szCs w:val="22"/>
        </w:rPr>
        <w:t xml:space="preserve">, se consideran partidas monetarias. Las cuentas </w:t>
      </w:r>
      <w:r w:rsidR="00EF014F">
        <w:rPr>
          <w:rFonts w:ascii="Times New Roman" w:hAnsi="Times New Roman" w:cs="Times New Roman"/>
          <w:sz w:val="22"/>
          <w:szCs w:val="22"/>
        </w:rPr>
        <w:t xml:space="preserve">y </w:t>
      </w:r>
      <w:r w:rsidRPr="00001120">
        <w:rPr>
          <w:rFonts w:ascii="Times New Roman" w:hAnsi="Times New Roman" w:cs="Times New Roman"/>
          <w:sz w:val="22"/>
          <w:szCs w:val="22"/>
        </w:rPr>
        <w:t>efectos por cobrar descontados y la provisi</w:t>
      </w:r>
      <w:r w:rsidR="00032ADE">
        <w:rPr>
          <w:rFonts w:ascii="Times New Roman" w:hAnsi="Times New Roman" w:cs="Times New Roman"/>
          <w:sz w:val="22"/>
          <w:szCs w:val="22"/>
        </w:rPr>
        <w:t xml:space="preserve">ón para cuentas por cobrar </w:t>
      </w:r>
      <w:r w:rsidRPr="00001120">
        <w:rPr>
          <w:rFonts w:ascii="Times New Roman" w:hAnsi="Times New Roman" w:cs="Times New Roman"/>
          <w:sz w:val="22"/>
          <w:szCs w:val="22"/>
        </w:rPr>
        <w:t xml:space="preserve">son también partidas monetarias. Los anticipos dados </w:t>
      </w:r>
      <w:r w:rsidR="00EF014F">
        <w:rPr>
          <w:rFonts w:ascii="Times New Roman" w:hAnsi="Times New Roman" w:cs="Times New Roman"/>
          <w:sz w:val="22"/>
          <w:szCs w:val="22"/>
        </w:rPr>
        <w:t xml:space="preserve">para garantizar materiales o inventarios </w:t>
      </w:r>
      <w:r w:rsidRPr="00001120">
        <w:rPr>
          <w:rFonts w:ascii="Times New Roman" w:hAnsi="Times New Roman" w:cs="Times New Roman"/>
          <w:sz w:val="22"/>
          <w:szCs w:val="22"/>
        </w:rPr>
        <w:t>pueden eventualmente considerarse partidas no monetarias si el proveedor no garantiza un precio fijo sobre el inventario a adquirir</w:t>
      </w:r>
      <w:r w:rsidR="00EF014F">
        <w:rPr>
          <w:rFonts w:ascii="Times New Roman" w:hAnsi="Times New Roman" w:cs="Times New Roman"/>
          <w:sz w:val="22"/>
          <w:szCs w:val="22"/>
        </w:rPr>
        <w:t xml:space="preserve"> y deben tratarse como cuentas por cobrar</w:t>
      </w:r>
      <w:r w:rsidRPr="00001120">
        <w:rPr>
          <w:rFonts w:ascii="Times New Roman" w:hAnsi="Times New Roman" w:cs="Times New Roman"/>
          <w:sz w:val="22"/>
          <w:szCs w:val="22"/>
        </w:rPr>
        <w:t>.</w:t>
      </w:r>
    </w:p>
    <w:p w:rsidR="00DB2363" w:rsidRPr="00001120" w:rsidRDefault="00DB2363" w:rsidP="001B3089">
      <w:pPr>
        <w:pStyle w:val="Textoindependiente"/>
        <w:tabs>
          <w:tab w:val="left" w:pos="720"/>
        </w:tabs>
        <w:spacing w:after="120" w:line="300" w:lineRule="exact"/>
        <w:ind w:firstLine="510"/>
        <w:rPr>
          <w:rFonts w:ascii="Times New Roman" w:hAnsi="Times New Roman" w:cs="Times New Roman"/>
          <w:sz w:val="22"/>
          <w:szCs w:val="22"/>
        </w:rPr>
      </w:pPr>
      <w:r w:rsidRPr="00001120">
        <w:rPr>
          <w:rFonts w:ascii="Times New Roman" w:hAnsi="Times New Roman" w:cs="Times New Roman"/>
          <w:sz w:val="22"/>
          <w:szCs w:val="22"/>
        </w:rPr>
        <w:lastRenderedPageBreak/>
        <w:t xml:space="preserve">Los productos terminados, en proceso, materia prima, materiales indirectos y suministros de fábrica, mercancías en tránsito y las cuentas de valuación de inventarios (provisión para obsolescencia) deben ser </w:t>
      </w:r>
      <w:r w:rsidR="00463415" w:rsidRPr="00001120">
        <w:rPr>
          <w:rFonts w:ascii="Times New Roman" w:hAnsi="Times New Roman" w:cs="Times New Roman"/>
          <w:sz w:val="22"/>
          <w:szCs w:val="22"/>
        </w:rPr>
        <w:t>considerados como no monetarios</w:t>
      </w:r>
      <w:r w:rsidR="002B15DA">
        <w:rPr>
          <w:rFonts w:ascii="Times New Roman" w:hAnsi="Times New Roman" w:cs="Times New Roman"/>
          <w:sz w:val="22"/>
          <w:szCs w:val="22"/>
        </w:rPr>
        <w:t xml:space="preserve"> (parágrafos 64 al 71 DPC 10).</w:t>
      </w:r>
    </w:p>
    <w:p w:rsidR="00660DEB" w:rsidRPr="00001120" w:rsidRDefault="00EF014F" w:rsidP="001B3089">
      <w:pPr>
        <w:spacing w:after="120" w:line="300" w:lineRule="exact"/>
        <w:ind w:firstLine="510"/>
        <w:jc w:val="both"/>
        <w:rPr>
          <w:rFonts w:ascii="Times New Roman" w:hAnsi="Times New Roman" w:cs="Times New Roman"/>
          <w:sz w:val="22"/>
          <w:szCs w:val="22"/>
        </w:rPr>
      </w:pPr>
      <w:r>
        <w:rPr>
          <w:rFonts w:ascii="Times New Roman" w:hAnsi="Times New Roman" w:cs="Times New Roman"/>
          <w:sz w:val="22"/>
          <w:szCs w:val="22"/>
        </w:rPr>
        <w:t>Los gastos pagados</w:t>
      </w:r>
      <w:r w:rsidR="00463415" w:rsidRPr="00001120">
        <w:rPr>
          <w:rFonts w:ascii="Times New Roman" w:hAnsi="Times New Roman" w:cs="Times New Roman"/>
          <w:sz w:val="22"/>
          <w:szCs w:val="22"/>
        </w:rPr>
        <w:t xml:space="preserve"> </w:t>
      </w:r>
      <w:r>
        <w:rPr>
          <w:rFonts w:ascii="Times New Roman" w:hAnsi="Times New Roman" w:cs="Times New Roman"/>
          <w:sz w:val="22"/>
          <w:szCs w:val="22"/>
        </w:rPr>
        <w:t xml:space="preserve">por anticipado </w:t>
      </w:r>
      <w:r w:rsidR="00463415" w:rsidRPr="00001120">
        <w:rPr>
          <w:rFonts w:ascii="Times New Roman" w:hAnsi="Times New Roman" w:cs="Times New Roman"/>
          <w:sz w:val="22"/>
          <w:szCs w:val="22"/>
        </w:rPr>
        <w:t>se consideran de naturaleza monetaria o no mone</w:t>
      </w:r>
      <w:r w:rsidR="009D3715" w:rsidRPr="00001120">
        <w:rPr>
          <w:rFonts w:ascii="Times New Roman" w:hAnsi="Times New Roman" w:cs="Times New Roman"/>
          <w:sz w:val="22"/>
          <w:szCs w:val="22"/>
        </w:rPr>
        <w:t>taria</w:t>
      </w:r>
      <w:r w:rsidR="002B15DA">
        <w:rPr>
          <w:rFonts w:ascii="Times New Roman" w:hAnsi="Times New Roman" w:cs="Times New Roman"/>
          <w:sz w:val="22"/>
          <w:szCs w:val="22"/>
        </w:rPr>
        <w:t xml:space="preserve"> (parágrafos 61,82, 83 y 84 DPC 10)</w:t>
      </w:r>
      <w:r w:rsidR="009D3715" w:rsidRPr="00001120">
        <w:rPr>
          <w:rFonts w:ascii="Times New Roman" w:hAnsi="Times New Roman" w:cs="Times New Roman"/>
          <w:sz w:val="22"/>
          <w:szCs w:val="22"/>
        </w:rPr>
        <w:t xml:space="preserve">. </w:t>
      </w:r>
      <w:r>
        <w:rPr>
          <w:rFonts w:ascii="Times New Roman" w:hAnsi="Times New Roman" w:cs="Times New Roman"/>
          <w:sz w:val="22"/>
          <w:szCs w:val="22"/>
        </w:rPr>
        <w:t>Los seguros prepagados, anticipos dados por alquileres, papelería y objetos de oficina y partidas similares se consideran de naturaleza no monetaria</w:t>
      </w:r>
      <w:r w:rsidR="005A664E">
        <w:rPr>
          <w:rFonts w:ascii="Times New Roman" w:hAnsi="Times New Roman" w:cs="Times New Roman"/>
          <w:sz w:val="22"/>
          <w:szCs w:val="22"/>
        </w:rPr>
        <w:t xml:space="preserve"> </w:t>
      </w:r>
      <w:r w:rsidR="005A664E" w:rsidRPr="00001120">
        <w:rPr>
          <w:rFonts w:ascii="Times New Roman" w:hAnsi="Times New Roman" w:cs="Times New Roman"/>
          <w:sz w:val="22"/>
          <w:szCs w:val="22"/>
        </w:rPr>
        <w:t>ya que los pagos por estos conceptos, normalmente protegen el incremento futuro de su costo</w:t>
      </w:r>
      <w:r>
        <w:rPr>
          <w:rFonts w:ascii="Times New Roman" w:hAnsi="Times New Roman" w:cs="Times New Roman"/>
          <w:sz w:val="22"/>
          <w:szCs w:val="22"/>
        </w:rPr>
        <w:t>. Sin embrago, l</w:t>
      </w:r>
      <w:r w:rsidR="009D3715" w:rsidRPr="00001120">
        <w:rPr>
          <w:rFonts w:ascii="Times New Roman" w:hAnsi="Times New Roman" w:cs="Times New Roman"/>
          <w:sz w:val="22"/>
          <w:szCs w:val="22"/>
        </w:rPr>
        <w:t xml:space="preserve">os </w:t>
      </w:r>
      <w:r w:rsidR="00463415" w:rsidRPr="00001120">
        <w:rPr>
          <w:rFonts w:ascii="Times New Roman" w:hAnsi="Times New Roman" w:cs="Times New Roman"/>
          <w:sz w:val="22"/>
          <w:szCs w:val="22"/>
        </w:rPr>
        <w:t>i</w:t>
      </w:r>
      <w:r w:rsidR="00DB2363" w:rsidRPr="00001120">
        <w:rPr>
          <w:rFonts w:ascii="Times New Roman" w:hAnsi="Times New Roman" w:cs="Times New Roman"/>
          <w:sz w:val="22"/>
          <w:szCs w:val="22"/>
        </w:rPr>
        <w:t xml:space="preserve">mpuestos </w:t>
      </w:r>
      <w:r>
        <w:rPr>
          <w:rFonts w:ascii="Times New Roman" w:hAnsi="Times New Roman" w:cs="Times New Roman"/>
          <w:sz w:val="22"/>
          <w:szCs w:val="22"/>
        </w:rPr>
        <w:t xml:space="preserve">y los intereses </w:t>
      </w:r>
      <w:r w:rsidR="005A664E" w:rsidRPr="00001120">
        <w:rPr>
          <w:rFonts w:ascii="Times New Roman" w:hAnsi="Times New Roman" w:cs="Times New Roman"/>
          <w:sz w:val="22"/>
          <w:szCs w:val="22"/>
        </w:rPr>
        <w:t xml:space="preserve">pagados </w:t>
      </w:r>
      <w:r w:rsidR="00DB2363" w:rsidRPr="00001120">
        <w:rPr>
          <w:rFonts w:ascii="Times New Roman" w:hAnsi="Times New Roman" w:cs="Times New Roman"/>
          <w:sz w:val="22"/>
          <w:szCs w:val="22"/>
        </w:rPr>
        <w:t>por anticipado se considera</w:t>
      </w:r>
      <w:r w:rsidR="005A664E">
        <w:rPr>
          <w:rFonts w:ascii="Times New Roman" w:hAnsi="Times New Roman" w:cs="Times New Roman"/>
          <w:sz w:val="22"/>
          <w:szCs w:val="22"/>
        </w:rPr>
        <w:t>n</w:t>
      </w:r>
      <w:r w:rsidR="00DB2363" w:rsidRPr="00001120">
        <w:rPr>
          <w:rFonts w:ascii="Times New Roman" w:hAnsi="Times New Roman" w:cs="Times New Roman"/>
          <w:sz w:val="22"/>
          <w:szCs w:val="22"/>
        </w:rPr>
        <w:t xml:space="preserve"> monetaria debido a que su valor de liquida</w:t>
      </w:r>
      <w:r w:rsidR="005A664E">
        <w:rPr>
          <w:rFonts w:ascii="Times New Roman" w:hAnsi="Times New Roman" w:cs="Times New Roman"/>
          <w:sz w:val="22"/>
          <w:szCs w:val="22"/>
        </w:rPr>
        <w:t>ción al momento de pagar el impuesto</w:t>
      </w:r>
      <w:r w:rsidR="00DB2363" w:rsidRPr="00001120">
        <w:rPr>
          <w:rFonts w:ascii="Times New Roman" w:hAnsi="Times New Roman" w:cs="Times New Roman"/>
          <w:sz w:val="22"/>
          <w:szCs w:val="22"/>
        </w:rPr>
        <w:t xml:space="preserve"> del ejercicio, estará determinado por el valor histórico sobre el cual se calculó; intereses pagados por anticipado son </w:t>
      </w:r>
      <w:r w:rsidR="009D3715" w:rsidRPr="00001120">
        <w:rPr>
          <w:rFonts w:ascii="Times New Roman" w:hAnsi="Times New Roman" w:cs="Times New Roman"/>
          <w:sz w:val="22"/>
          <w:szCs w:val="22"/>
        </w:rPr>
        <w:t xml:space="preserve">igualmente </w:t>
      </w:r>
      <w:r w:rsidR="001D094D" w:rsidRPr="00001120">
        <w:rPr>
          <w:rFonts w:ascii="Times New Roman" w:hAnsi="Times New Roman" w:cs="Times New Roman"/>
          <w:sz w:val="22"/>
          <w:szCs w:val="22"/>
        </w:rPr>
        <w:t>partidas monetarias debido a:</w:t>
      </w:r>
    </w:p>
    <w:p w:rsidR="00660DEB" w:rsidRPr="00001120" w:rsidRDefault="001D094D" w:rsidP="001B3089">
      <w:pPr>
        <w:spacing w:after="120" w:line="300" w:lineRule="exact"/>
        <w:ind w:firstLine="510"/>
        <w:jc w:val="both"/>
        <w:rPr>
          <w:rFonts w:ascii="Times New Roman" w:hAnsi="Times New Roman" w:cs="Times New Roman"/>
          <w:sz w:val="22"/>
          <w:szCs w:val="22"/>
        </w:rPr>
      </w:pPr>
      <w:r w:rsidRPr="00001120">
        <w:rPr>
          <w:rFonts w:ascii="Times New Roman" w:hAnsi="Times New Roman" w:cs="Times New Roman"/>
          <w:sz w:val="22"/>
          <w:szCs w:val="22"/>
        </w:rPr>
        <w:t>1)</w:t>
      </w:r>
      <w:r w:rsidR="00DB2363" w:rsidRPr="00001120">
        <w:rPr>
          <w:rFonts w:ascii="Times New Roman" w:hAnsi="Times New Roman" w:cs="Times New Roman"/>
          <w:sz w:val="22"/>
          <w:szCs w:val="22"/>
        </w:rPr>
        <w:t xml:space="preserve"> se origin</w:t>
      </w:r>
      <w:r w:rsidRPr="00001120">
        <w:rPr>
          <w:rFonts w:ascii="Times New Roman" w:hAnsi="Times New Roman" w:cs="Times New Roman"/>
          <w:sz w:val="22"/>
          <w:szCs w:val="22"/>
        </w:rPr>
        <w:t>an de partidas monetarias</w:t>
      </w:r>
      <w:r w:rsidR="005A664E">
        <w:rPr>
          <w:rFonts w:ascii="Times New Roman" w:hAnsi="Times New Roman" w:cs="Times New Roman"/>
          <w:sz w:val="22"/>
          <w:szCs w:val="22"/>
        </w:rPr>
        <w:t xml:space="preserve"> (deudas)</w:t>
      </w:r>
      <w:r w:rsidRPr="00001120">
        <w:rPr>
          <w:rFonts w:ascii="Times New Roman" w:hAnsi="Times New Roman" w:cs="Times New Roman"/>
          <w:sz w:val="22"/>
          <w:szCs w:val="22"/>
        </w:rPr>
        <w:t>,</w:t>
      </w:r>
    </w:p>
    <w:p w:rsidR="00DB2363" w:rsidRPr="00001120" w:rsidRDefault="001D094D" w:rsidP="001B3089">
      <w:pPr>
        <w:spacing w:after="120" w:line="300" w:lineRule="exact"/>
        <w:ind w:firstLine="510"/>
        <w:jc w:val="both"/>
        <w:rPr>
          <w:rFonts w:ascii="Times New Roman" w:hAnsi="Times New Roman" w:cs="Times New Roman"/>
          <w:sz w:val="22"/>
          <w:szCs w:val="22"/>
        </w:rPr>
      </w:pPr>
      <w:r w:rsidRPr="00001120">
        <w:rPr>
          <w:rFonts w:ascii="Times New Roman" w:hAnsi="Times New Roman" w:cs="Times New Roman"/>
          <w:sz w:val="22"/>
          <w:szCs w:val="22"/>
        </w:rPr>
        <w:t>2)</w:t>
      </w:r>
      <w:r w:rsidR="00DB2363" w:rsidRPr="00001120">
        <w:rPr>
          <w:rFonts w:ascii="Times New Roman" w:hAnsi="Times New Roman" w:cs="Times New Roman"/>
          <w:sz w:val="22"/>
          <w:szCs w:val="22"/>
        </w:rPr>
        <w:t xml:space="preserve"> el desembolso realizado por este concepto no implica que una empresa se proteja de alguna manera contra la inflación; la cuenta alquileres </w:t>
      </w:r>
      <w:r w:rsidR="00FE1FCA" w:rsidRPr="00001120">
        <w:rPr>
          <w:rFonts w:ascii="Times New Roman" w:hAnsi="Times New Roman" w:cs="Times New Roman"/>
          <w:sz w:val="22"/>
          <w:szCs w:val="22"/>
        </w:rPr>
        <w:t>pag</w:t>
      </w:r>
      <w:r w:rsidR="00DB2363" w:rsidRPr="00001120">
        <w:rPr>
          <w:rFonts w:ascii="Times New Roman" w:hAnsi="Times New Roman" w:cs="Times New Roman"/>
          <w:sz w:val="22"/>
          <w:szCs w:val="22"/>
        </w:rPr>
        <w:t>ados por anticipado se considera en principio no monetaria ya que su desembolso permite tener un costo más bajo en razón al incremento futuro del servicio por efectos inflacionarios; y, los suministros de oficina, constituidos por aquellos inventarios menores para los cuales se toma el tratamiento contable de llevarlos a gastos, previo el registro en una cuenta de prepagado, y dada su baja cuantía se recomienda tratarla como monetaria.</w:t>
      </w:r>
    </w:p>
    <w:p w:rsidR="00DB2363" w:rsidRPr="00001120" w:rsidRDefault="00DB2363" w:rsidP="001B3089">
      <w:pPr>
        <w:spacing w:after="120" w:line="300" w:lineRule="exact"/>
        <w:ind w:firstLine="510"/>
        <w:jc w:val="both"/>
        <w:rPr>
          <w:rFonts w:ascii="Times New Roman" w:hAnsi="Times New Roman" w:cs="Times New Roman"/>
          <w:sz w:val="22"/>
          <w:szCs w:val="22"/>
        </w:rPr>
      </w:pPr>
      <w:r w:rsidRPr="00001120">
        <w:rPr>
          <w:rFonts w:ascii="Times New Roman" w:hAnsi="Times New Roman" w:cs="Times New Roman"/>
          <w:sz w:val="22"/>
          <w:szCs w:val="22"/>
        </w:rPr>
        <w:t>Las partidas de propiedad, planta y equipo y las partidas intangibles, así como las partidas de valuación de estos activos son de naturaleza no monetaria debido a que normalmente aumentan su valor con respecto a la inflación</w:t>
      </w:r>
      <w:r w:rsidR="002B15DA">
        <w:rPr>
          <w:rFonts w:ascii="Times New Roman" w:hAnsi="Times New Roman" w:cs="Times New Roman"/>
          <w:sz w:val="22"/>
          <w:szCs w:val="22"/>
        </w:rPr>
        <w:t xml:space="preserve"> (parágrafo 72 al 81 DPC 10</w:t>
      </w:r>
      <w:r w:rsidR="00C81B97">
        <w:rPr>
          <w:rFonts w:ascii="Times New Roman" w:hAnsi="Times New Roman" w:cs="Times New Roman"/>
          <w:sz w:val="22"/>
          <w:szCs w:val="22"/>
        </w:rPr>
        <w:t>; 15 y 16 NIC 29</w:t>
      </w:r>
      <w:r w:rsidR="002B15DA">
        <w:rPr>
          <w:rFonts w:ascii="Times New Roman" w:hAnsi="Times New Roman" w:cs="Times New Roman"/>
          <w:sz w:val="22"/>
          <w:szCs w:val="22"/>
        </w:rPr>
        <w:t>)</w:t>
      </w:r>
      <w:r w:rsidRPr="00001120">
        <w:rPr>
          <w:rFonts w:ascii="Times New Roman" w:hAnsi="Times New Roman" w:cs="Times New Roman"/>
          <w:sz w:val="22"/>
          <w:szCs w:val="22"/>
        </w:rPr>
        <w:t>.</w:t>
      </w:r>
    </w:p>
    <w:p w:rsidR="009D3715" w:rsidRPr="00001120" w:rsidRDefault="00032ADE" w:rsidP="001B3089">
      <w:pPr>
        <w:spacing w:after="120" w:line="300" w:lineRule="exact"/>
        <w:ind w:firstLine="510"/>
        <w:jc w:val="both"/>
        <w:rPr>
          <w:rFonts w:ascii="Times New Roman" w:hAnsi="Times New Roman" w:cs="Times New Roman"/>
          <w:sz w:val="22"/>
          <w:szCs w:val="22"/>
        </w:rPr>
      </w:pPr>
      <w:r>
        <w:rPr>
          <w:rFonts w:ascii="Times New Roman" w:hAnsi="Times New Roman" w:cs="Times New Roman"/>
          <w:sz w:val="22"/>
          <w:szCs w:val="22"/>
        </w:rPr>
        <w:t>Los intangibles</w:t>
      </w:r>
      <w:r w:rsidR="00DB2363" w:rsidRPr="00001120">
        <w:rPr>
          <w:rFonts w:ascii="Times New Roman" w:hAnsi="Times New Roman" w:cs="Times New Roman"/>
          <w:sz w:val="22"/>
          <w:szCs w:val="22"/>
        </w:rPr>
        <w:t xml:space="preserve"> están asociados a beneficios futuros y por lo tanto representan costos que por ser pagados en forma anticipada serán menores a los que se incurrirían en un futuro se consideran no monetarias, así como sus cuentas de valuación</w:t>
      </w:r>
      <w:r w:rsidR="002B15DA">
        <w:rPr>
          <w:rFonts w:ascii="Times New Roman" w:hAnsi="Times New Roman" w:cs="Times New Roman"/>
          <w:sz w:val="22"/>
          <w:szCs w:val="22"/>
        </w:rPr>
        <w:t xml:space="preserve"> (parágrafo 61 DPC 10</w:t>
      </w:r>
      <w:r w:rsidR="00C81B97">
        <w:rPr>
          <w:rFonts w:ascii="Times New Roman" w:hAnsi="Times New Roman" w:cs="Times New Roman"/>
          <w:sz w:val="22"/>
          <w:szCs w:val="22"/>
        </w:rPr>
        <w:t xml:space="preserve">; 15 </w:t>
      </w:r>
      <w:r w:rsidR="00A36C25">
        <w:rPr>
          <w:rFonts w:ascii="Times New Roman" w:hAnsi="Times New Roman" w:cs="Times New Roman"/>
          <w:sz w:val="22"/>
          <w:szCs w:val="22"/>
        </w:rPr>
        <w:t xml:space="preserve">y 19 </w:t>
      </w:r>
      <w:r w:rsidR="00C81B97">
        <w:rPr>
          <w:rFonts w:ascii="Times New Roman" w:hAnsi="Times New Roman" w:cs="Times New Roman"/>
          <w:sz w:val="22"/>
          <w:szCs w:val="22"/>
        </w:rPr>
        <w:t>NIC 29</w:t>
      </w:r>
      <w:r w:rsidR="002B15DA">
        <w:rPr>
          <w:rFonts w:ascii="Times New Roman" w:hAnsi="Times New Roman" w:cs="Times New Roman"/>
          <w:sz w:val="22"/>
          <w:szCs w:val="22"/>
        </w:rPr>
        <w:t>)</w:t>
      </w:r>
      <w:r w:rsidR="00DB2363" w:rsidRPr="00001120">
        <w:rPr>
          <w:rFonts w:ascii="Times New Roman" w:hAnsi="Times New Roman" w:cs="Times New Roman"/>
          <w:sz w:val="22"/>
          <w:szCs w:val="22"/>
        </w:rPr>
        <w:t>.</w:t>
      </w:r>
    </w:p>
    <w:p w:rsidR="00F35549" w:rsidRPr="00001120" w:rsidRDefault="00F35549" w:rsidP="001B3089">
      <w:pPr>
        <w:pStyle w:val="Textoindependiente2"/>
        <w:spacing w:after="120" w:line="300" w:lineRule="exact"/>
        <w:ind w:firstLine="510"/>
        <w:jc w:val="both"/>
        <w:rPr>
          <w:sz w:val="22"/>
          <w:szCs w:val="22"/>
          <w:lang w:eastAsia="en-US"/>
        </w:rPr>
      </w:pPr>
      <w:r w:rsidRPr="00001120">
        <w:rPr>
          <w:sz w:val="22"/>
          <w:szCs w:val="22"/>
          <w:lang w:eastAsia="en-US"/>
        </w:rPr>
        <w:t>Las inversiones en títulos de capital</w:t>
      </w:r>
      <w:r w:rsidR="00921DF2">
        <w:rPr>
          <w:sz w:val="22"/>
          <w:szCs w:val="22"/>
          <w:lang w:eastAsia="en-US"/>
        </w:rPr>
        <w:t xml:space="preserve"> (parágrafos 85 y 86 DPC 10; 6 NIC 29)</w:t>
      </w:r>
      <w:r w:rsidRPr="00001120">
        <w:rPr>
          <w:sz w:val="22"/>
          <w:szCs w:val="22"/>
          <w:lang w:eastAsia="en-US"/>
        </w:rPr>
        <w:t>, disponibles para la venta, se consideran partidas no monetarias,</w:t>
      </w:r>
      <w:r w:rsidR="00E95DA1">
        <w:rPr>
          <w:sz w:val="22"/>
          <w:szCs w:val="22"/>
          <w:lang w:eastAsia="en-US"/>
        </w:rPr>
        <w:t xml:space="preserve"> sin embargo, su tratamiento está referenciado a la</w:t>
      </w:r>
      <w:r w:rsidR="00921DF2">
        <w:rPr>
          <w:sz w:val="22"/>
          <w:szCs w:val="22"/>
          <w:lang w:eastAsia="en-US"/>
        </w:rPr>
        <w:t>s</w:t>
      </w:r>
      <w:r w:rsidR="002B15DA">
        <w:rPr>
          <w:sz w:val="22"/>
          <w:szCs w:val="22"/>
          <w:lang w:eastAsia="en-US"/>
        </w:rPr>
        <w:t xml:space="preserve"> NIC </w:t>
      </w:r>
      <w:r w:rsidR="00921DF2">
        <w:rPr>
          <w:sz w:val="22"/>
          <w:szCs w:val="22"/>
          <w:lang w:eastAsia="en-US"/>
        </w:rPr>
        <w:t>32 y 39</w:t>
      </w:r>
      <w:r w:rsidRPr="00001120">
        <w:rPr>
          <w:sz w:val="22"/>
          <w:szCs w:val="22"/>
          <w:lang w:eastAsia="en-US"/>
        </w:rPr>
        <w:t>.</w:t>
      </w:r>
    </w:p>
    <w:p w:rsidR="00DB2363" w:rsidRPr="00001120" w:rsidRDefault="00DB2363" w:rsidP="00D73A21">
      <w:pPr>
        <w:spacing w:after="240" w:line="300" w:lineRule="exact"/>
        <w:ind w:firstLine="510"/>
        <w:jc w:val="both"/>
        <w:rPr>
          <w:rFonts w:ascii="Times New Roman" w:hAnsi="Times New Roman" w:cs="Times New Roman"/>
          <w:sz w:val="22"/>
          <w:szCs w:val="22"/>
        </w:rPr>
      </w:pPr>
      <w:r w:rsidRPr="00001120">
        <w:rPr>
          <w:rFonts w:ascii="Times New Roman" w:hAnsi="Times New Roman" w:cs="Times New Roman"/>
          <w:sz w:val="22"/>
          <w:szCs w:val="22"/>
        </w:rPr>
        <w:t xml:space="preserve">Los activos referidos a cuentas que presentan un monto fijo, como los depósitos </w:t>
      </w:r>
      <w:r w:rsidR="00E95DA1">
        <w:rPr>
          <w:rFonts w:ascii="Times New Roman" w:hAnsi="Times New Roman" w:cs="Times New Roman"/>
          <w:sz w:val="22"/>
          <w:szCs w:val="22"/>
        </w:rPr>
        <w:t>para servicios son de naturaleza no monetaria,</w:t>
      </w:r>
      <w:r w:rsidRPr="00001120">
        <w:rPr>
          <w:rFonts w:ascii="Times New Roman" w:hAnsi="Times New Roman" w:cs="Times New Roman"/>
          <w:sz w:val="22"/>
          <w:szCs w:val="22"/>
        </w:rPr>
        <w:t xml:space="preserve"> efectos por cobrar protestados o en litigio, son de naturaleza </w:t>
      </w:r>
      <w:r w:rsidR="00E95DA1">
        <w:rPr>
          <w:rFonts w:ascii="Times New Roman" w:hAnsi="Times New Roman" w:cs="Times New Roman"/>
          <w:sz w:val="22"/>
          <w:szCs w:val="22"/>
        </w:rPr>
        <w:t xml:space="preserve">no </w:t>
      </w:r>
      <w:r w:rsidRPr="00001120">
        <w:rPr>
          <w:rFonts w:ascii="Times New Roman" w:hAnsi="Times New Roman" w:cs="Times New Roman"/>
          <w:sz w:val="22"/>
          <w:szCs w:val="22"/>
        </w:rPr>
        <w:t>monetaria.</w:t>
      </w:r>
    </w:p>
    <w:p w:rsidR="00DB2363" w:rsidRPr="00001120" w:rsidRDefault="00DB2363" w:rsidP="00D73A21">
      <w:pPr>
        <w:spacing w:after="240" w:line="300" w:lineRule="exact"/>
        <w:jc w:val="both"/>
        <w:rPr>
          <w:rFonts w:ascii="Times New Roman" w:hAnsi="Times New Roman" w:cs="Times New Roman"/>
          <w:i/>
          <w:sz w:val="22"/>
          <w:szCs w:val="22"/>
        </w:rPr>
      </w:pPr>
      <w:r w:rsidRPr="00001120">
        <w:rPr>
          <w:rFonts w:ascii="Times New Roman" w:hAnsi="Times New Roman" w:cs="Times New Roman"/>
          <w:i/>
          <w:sz w:val="22"/>
          <w:szCs w:val="22"/>
        </w:rPr>
        <w:t>Cuentas de Pasivo</w:t>
      </w:r>
    </w:p>
    <w:p w:rsidR="00F35549" w:rsidRPr="00001120" w:rsidRDefault="00DB2363" w:rsidP="00C81B97">
      <w:pPr>
        <w:spacing w:after="240" w:line="300" w:lineRule="exact"/>
        <w:ind w:firstLine="510"/>
        <w:jc w:val="both"/>
        <w:rPr>
          <w:rFonts w:ascii="Times New Roman" w:hAnsi="Times New Roman" w:cs="Times New Roman"/>
          <w:sz w:val="22"/>
          <w:szCs w:val="22"/>
        </w:rPr>
      </w:pPr>
      <w:r w:rsidRPr="00001120">
        <w:rPr>
          <w:rFonts w:ascii="Times New Roman" w:hAnsi="Times New Roman" w:cs="Times New Roman"/>
          <w:sz w:val="22"/>
          <w:szCs w:val="22"/>
        </w:rPr>
        <w:t>Las partidas de pasivo son casi en su totalidad de naturaleza monetaria</w:t>
      </w:r>
      <w:r w:rsidR="00C81B97">
        <w:rPr>
          <w:rFonts w:ascii="Times New Roman" w:hAnsi="Times New Roman" w:cs="Times New Roman"/>
          <w:sz w:val="22"/>
          <w:szCs w:val="22"/>
        </w:rPr>
        <w:t xml:space="preserve"> (parágrafo 41 DPC 10; 12 y 13 NIC 29)</w:t>
      </w:r>
      <w:r w:rsidRPr="00001120">
        <w:rPr>
          <w:rFonts w:ascii="Times New Roman" w:hAnsi="Times New Roman" w:cs="Times New Roman"/>
          <w:sz w:val="22"/>
          <w:szCs w:val="22"/>
        </w:rPr>
        <w:t>,</w:t>
      </w:r>
      <w:r w:rsidR="00C81B97">
        <w:rPr>
          <w:rFonts w:ascii="Times New Roman" w:hAnsi="Times New Roman" w:cs="Times New Roman"/>
          <w:sz w:val="22"/>
          <w:szCs w:val="22"/>
        </w:rPr>
        <w:t xml:space="preserve"> l</w:t>
      </w:r>
      <w:r w:rsidRPr="00001120">
        <w:rPr>
          <w:rFonts w:ascii="Times New Roman" w:hAnsi="Times New Roman" w:cs="Times New Roman"/>
          <w:sz w:val="22"/>
          <w:szCs w:val="22"/>
        </w:rPr>
        <w:t>os préstamos bancarios, documentos y cuentas por pagar y otras cuentas por pagar se encuentran denominados en  moneda nominal a la fecha del balance, por lo que no es necesario ajustarlas.</w:t>
      </w:r>
    </w:p>
    <w:p w:rsidR="00F35549" w:rsidRPr="00001120" w:rsidRDefault="00DB2363" w:rsidP="001B3089">
      <w:pPr>
        <w:spacing w:after="120" w:line="300" w:lineRule="exact"/>
        <w:ind w:firstLine="510"/>
        <w:jc w:val="both"/>
        <w:rPr>
          <w:rFonts w:ascii="Times New Roman" w:hAnsi="Times New Roman" w:cs="Times New Roman"/>
          <w:sz w:val="22"/>
          <w:szCs w:val="22"/>
        </w:rPr>
      </w:pPr>
      <w:r w:rsidRPr="00001120">
        <w:rPr>
          <w:rFonts w:ascii="Times New Roman" w:hAnsi="Times New Roman" w:cs="Times New Roman"/>
          <w:sz w:val="22"/>
          <w:szCs w:val="22"/>
        </w:rPr>
        <w:lastRenderedPageBreak/>
        <w:t xml:space="preserve">Las partidas del pasivo a largo plazo, apartados o estimados y otros tipos de pasivos se representan en moneda </w:t>
      </w:r>
      <w:r w:rsidR="00001120" w:rsidRPr="00001120">
        <w:rPr>
          <w:rFonts w:ascii="Times New Roman" w:hAnsi="Times New Roman" w:cs="Times New Roman"/>
          <w:sz w:val="22"/>
          <w:szCs w:val="22"/>
        </w:rPr>
        <w:t>n</w:t>
      </w:r>
      <w:r w:rsidRPr="00001120">
        <w:rPr>
          <w:rFonts w:ascii="Times New Roman" w:hAnsi="Times New Roman" w:cs="Times New Roman"/>
          <w:sz w:val="22"/>
          <w:szCs w:val="22"/>
        </w:rPr>
        <w:t>ominal y que al incrementarse la inflación, serán liquidadas a su valor histórico.</w:t>
      </w:r>
      <w:r w:rsidR="00E95DA1">
        <w:rPr>
          <w:rFonts w:ascii="Times New Roman" w:hAnsi="Times New Roman" w:cs="Times New Roman"/>
          <w:sz w:val="22"/>
          <w:szCs w:val="22"/>
        </w:rPr>
        <w:t xml:space="preserve"> </w:t>
      </w:r>
      <w:r w:rsidRPr="00001120">
        <w:rPr>
          <w:rFonts w:ascii="Times New Roman" w:hAnsi="Times New Roman" w:cs="Times New Roman"/>
          <w:sz w:val="22"/>
          <w:szCs w:val="22"/>
        </w:rPr>
        <w:t xml:space="preserve">Los depósitos recibidos en garantía igualmente se </w:t>
      </w:r>
      <w:r w:rsidR="008A0991" w:rsidRPr="00001120">
        <w:rPr>
          <w:rFonts w:ascii="Times New Roman" w:hAnsi="Times New Roman" w:cs="Times New Roman"/>
          <w:sz w:val="22"/>
          <w:szCs w:val="22"/>
        </w:rPr>
        <w:t>consideran</w:t>
      </w:r>
      <w:r w:rsidRPr="00001120">
        <w:rPr>
          <w:rFonts w:ascii="Times New Roman" w:hAnsi="Times New Roman" w:cs="Times New Roman"/>
          <w:sz w:val="22"/>
          <w:szCs w:val="22"/>
        </w:rPr>
        <w:t xml:space="preserve"> </w:t>
      </w:r>
      <w:r w:rsidR="00F35549" w:rsidRPr="00001120">
        <w:rPr>
          <w:rFonts w:ascii="Times New Roman" w:hAnsi="Times New Roman" w:cs="Times New Roman"/>
          <w:sz w:val="22"/>
          <w:szCs w:val="22"/>
        </w:rPr>
        <w:t>monetarios</w:t>
      </w:r>
      <w:r w:rsidRPr="00001120">
        <w:rPr>
          <w:rFonts w:ascii="Times New Roman" w:hAnsi="Times New Roman" w:cs="Times New Roman"/>
          <w:sz w:val="22"/>
          <w:szCs w:val="22"/>
        </w:rPr>
        <w:t xml:space="preserve"> ya que se registra y liquida al valor monetario nominal.</w:t>
      </w:r>
      <w:r w:rsidR="00E95DA1">
        <w:rPr>
          <w:rFonts w:ascii="Times New Roman" w:hAnsi="Times New Roman" w:cs="Times New Roman"/>
          <w:sz w:val="22"/>
          <w:szCs w:val="22"/>
        </w:rPr>
        <w:t xml:space="preserve"> </w:t>
      </w:r>
      <w:r w:rsidR="00F35549" w:rsidRPr="00001120">
        <w:rPr>
          <w:rFonts w:ascii="Times New Roman" w:hAnsi="Times New Roman" w:cs="Times New Roman"/>
          <w:sz w:val="22"/>
          <w:szCs w:val="22"/>
        </w:rPr>
        <w:t xml:space="preserve">La excepción a estas reglas lo constituye </w:t>
      </w:r>
      <w:r w:rsidR="00E95DA1">
        <w:rPr>
          <w:rFonts w:ascii="Times New Roman" w:hAnsi="Times New Roman" w:cs="Times New Roman"/>
          <w:sz w:val="22"/>
          <w:szCs w:val="22"/>
        </w:rPr>
        <w:t>el alquiler cobrado</w:t>
      </w:r>
      <w:r w:rsidR="00F35549" w:rsidRPr="00001120">
        <w:rPr>
          <w:rFonts w:ascii="Times New Roman" w:hAnsi="Times New Roman" w:cs="Times New Roman"/>
          <w:sz w:val="22"/>
          <w:szCs w:val="22"/>
        </w:rPr>
        <w:t xml:space="preserve"> por anticipado, que se considera partida no monetaria.</w:t>
      </w:r>
    </w:p>
    <w:p w:rsidR="001D094D" w:rsidRPr="00B4363A" w:rsidRDefault="001D094D" w:rsidP="002C6F5D">
      <w:pPr>
        <w:spacing w:line="300" w:lineRule="exact"/>
        <w:jc w:val="both"/>
        <w:rPr>
          <w:rFonts w:ascii="Times New Roman" w:hAnsi="Times New Roman" w:cs="Times New Roman"/>
          <w:szCs w:val="20"/>
        </w:rPr>
      </w:pPr>
    </w:p>
    <w:p w:rsidR="00DB2363" w:rsidRDefault="008F6C73" w:rsidP="002C6F5D">
      <w:pPr>
        <w:spacing w:line="300" w:lineRule="exact"/>
        <w:jc w:val="both"/>
        <w:rPr>
          <w:rFonts w:ascii="Times New Roman" w:hAnsi="Times New Roman" w:cs="Times New Roman"/>
          <w:i/>
          <w:sz w:val="22"/>
          <w:szCs w:val="22"/>
        </w:rPr>
      </w:pPr>
      <w:r>
        <w:rPr>
          <w:rFonts w:ascii="Times New Roman" w:hAnsi="Times New Roman" w:cs="Times New Roman"/>
          <w:i/>
          <w:sz w:val="22"/>
          <w:szCs w:val="22"/>
        </w:rPr>
        <w:t>Cuent</w:t>
      </w:r>
      <w:r w:rsidR="00DB2363" w:rsidRPr="00001120">
        <w:rPr>
          <w:rFonts w:ascii="Times New Roman" w:hAnsi="Times New Roman" w:cs="Times New Roman"/>
          <w:i/>
          <w:sz w:val="22"/>
          <w:szCs w:val="22"/>
        </w:rPr>
        <w:t>as del Patrimonio</w:t>
      </w:r>
    </w:p>
    <w:p w:rsidR="00001120" w:rsidRPr="00001120" w:rsidRDefault="00001120" w:rsidP="002C6F5D">
      <w:pPr>
        <w:spacing w:line="300" w:lineRule="exact"/>
        <w:jc w:val="both"/>
        <w:rPr>
          <w:rFonts w:ascii="Times New Roman" w:hAnsi="Times New Roman" w:cs="Times New Roman"/>
          <w:i/>
          <w:sz w:val="22"/>
          <w:szCs w:val="22"/>
        </w:rPr>
      </w:pPr>
    </w:p>
    <w:p w:rsidR="00177EB8" w:rsidRPr="00001120" w:rsidRDefault="00177EB8" w:rsidP="00C81B97">
      <w:pPr>
        <w:spacing w:after="120" w:line="300" w:lineRule="exact"/>
        <w:ind w:firstLine="510"/>
        <w:jc w:val="both"/>
        <w:rPr>
          <w:rFonts w:ascii="Times New Roman" w:hAnsi="Times New Roman" w:cs="Times New Roman"/>
          <w:sz w:val="22"/>
          <w:szCs w:val="22"/>
        </w:rPr>
      </w:pPr>
      <w:r w:rsidRPr="00001120">
        <w:rPr>
          <w:rFonts w:ascii="Times New Roman" w:hAnsi="Times New Roman" w:cs="Times New Roman"/>
          <w:sz w:val="22"/>
          <w:szCs w:val="22"/>
        </w:rPr>
        <w:t xml:space="preserve">Los componentes del patrimonio, con excepción de las utilidades retenidas  acumuladas (o el déficit) y cualquier superávit por revaluación, se ajustan aplicando el Índice de Precios al Consumidor desde las fechas en que los componentes fueron aportados o cuando se originaron. Cualquier superávit por revaluación se elimina. Las utilidades retenidas (o el déficit), se derivan de todos los importes que se incluyen en el </w:t>
      </w:r>
      <w:r w:rsidR="001F2759">
        <w:rPr>
          <w:rFonts w:ascii="Times New Roman" w:hAnsi="Times New Roman" w:cs="Times New Roman"/>
          <w:sz w:val="22"/>
          <w:szCs w:val="22"/>
        </w:rPr>
        <w:t>Estado de Situación</w:t>
      </w:r>
      <w:r w:rsidRPr="00001120">
        <w:rPr>
          <w:rFonts w:ascii="Times New Roman" w:hAnsi="Times New Roman" w:cs="Times New Roman"/>
          <w:sz w:val="22"/>
          <w:szCs w:val="22"/>
        </w:rPr>
        <w:t xml:space="preserve"> reexpresado.</w:t>
      </w:r>
    </w:p>
    <w:p w:rsidR="00177EB8" w:rsidRPr="00001120" w:rsidRDefault="00DB2363" w:rsidP="00C81B97">
      <w:pPr>
        <w:pStyle w:val="Textoindependiente2"/>
        <w:spacing w:after="120" w:line="300" w:lineRule="exact"/>
        <w:ind w:firstLine="510"/>
        <w:jc w:val="both"/>
        <w:rPr>
          <w:sz w:val="22"/>
          <w:szCs w:val="22"/>
          <w:lang w:eastAsia="en-US"/>
        </w:rPr>
      </w:pPr>
      <w:r w:rsidRPr="00001120">
        <w:rPr>
          <w:sz w:val="22"/>
          <w:szCs w:val="22"/>
          <w:lang w:eastAsia="en-US"/>
        </w:rPr>
        <w:t xml:space="preserve">Las partidas del patrimonio o capital contable representan el valor acumulado de la empresa por todas sus operaciones y en atención al concepto de mantenimiento del patrimonio de la empresa las partidas que la componen son </w:t>
      </w:r>
      <w:r w:rsidR="008A0991" w:rsidRPr="00001120">
        <w:rPr>
          <w:sz w:val="22"/>
          <w:szCs w:val="22"/>
          <w:lang w:eastAsia="en-US"/>
        </w:rPr>
        <w:t>consideradas</w:t>
      </w:r>
      <w:r w:rsidRPr="00001120">
        <w:rPr>
          <w:sz w:val="22"/>
          <w:szCs w:val="22"/>
          <w:lang w:eastAsia="en-US"/>
        </w:rPr>
        <w:t xml:space="preserve"> de naturaleza no monetaria. Como excepción a esta regla, el capital preferente cuando éste es cancelado a los accionistas a su valor nominal, en cuyo caso el monto del capital social preferente es considerado como una partida de naturaleza monetaria.</w:t>
      </w:r>
    </w:p>
    <w:p w:rsidR="00177EB8" w:rsidRPr="00001120" w:rsidRDefault="00177EB8" w:rsidP="00C81B97">
      <w:pPr>
        <w:pStyle w:val="Textoindependiente2"/>
        <w:spacing w:before="120" w:after="120" w:line="300" w:lineRule="exact"/>
        <w:ind w:firstLine="510"/>
        <w:jc w:val="both"/>
        <w:rPr>
          <w:sz w:val="22"/>
          <w:szCs w:val="22"/>
          <w:lang w:eastAsia="en-US"/>
        </w:rPr>
      </w:pPr>
      <w:r w:rsidRPr="00001120">
        <w:rPr>
          <w:sz w:val="22"/>
          <w:szCs w:val="22"/>
          <w:lang w:eastAsia="en-US"/>
        </w:rPr>
        <w:t>Las utilidades retenidas acumuladas (o el déficit), se actualizan por el método del nivel general de precios. Para el decreto de dividendos en acciones, la constitución y la variación de reservas voluntarias, estatutarias o de tipo similar, se asigna como antigüedad la fecha o período de su origen como patrimonio y no la de su capitalización.</w:t>
      </w:r>
    </w:p>
    <w:p w:rsidR="00177EB8" w:rsidRDefault="00177EB8" w:rsidP="00C81B97">
      <w:pPr>
        <w:pStyle w:val="Textoindependiente2"/>
        <w:spacing w:line="300" w:lineRule="exact"/>
        <w:ind w:firstLine="510"/>
        <w:jc w:val="both"/>
        <w:rPr>
          <w:sz w:val="22"/>
          <w:szCs w:val="22"/>
          <w:lang w:eastAsia="en-US"/>
        </w:rPr>
      </w:pPr>
      <w:r w:rsidRPr="00001120">
        <w:rPr>
          <w:sz w:val="22"/>
          <w:szCs w:val="22"/>
          <w:lang w:eastAsia="en-US"/>
        </w:rPr>
        <w:t>La apropiación para la reserva legal, se calculará aplicándole a la utilidad ajustada del ejercicio el porcentaje establecido en el Código de Comercio de Venezuela</w:t>
      </w:r>
      <w:r w:rsidR="00E95DA1">
        <w:rPr>
          <w:sz w:val="22"/>
          <w:szCs w:val="22"/>
          <w:lang w:eastAsia="en-US"/>
        </w:rPr>
        <w:t xml:space="preserve"> (parágrafo 96 DPC 10)</w:t>
      </w:r>
      <w:r w:rsidRPr="00001120">
        <w:rPr>
          <w:sz w:val="22"/>
          <w:szCs w:val="22"/>
          <w:lang w:eastAsia="en-US"/>
        </w:rPr>
        <w:t>.</w:t>
      </w:r>
    </w:p>
    <w:p w:rsidR="00C81B97" w:rsidRDefault="00C81B97" w:rsidP="00C81B97">
      <w:pPr>
        <w:spacing w:line="300" w:lineRule="exact"/>
        <w:jc w:val="both"/>
        <w:rPr>
          <w:rFonts w:ascii="Times New Roman" w:hAnsi="Times New Roman" w:cs="Times New Roman"/>
          <w:i/>
          <w:sz w:val="22"/>
          <w:szCs w:val="22"/>
        </w:rPr>
      </w:pPr>
    </w:p>
    <w:p w:rsidR="00E95DA1" w:rsidRDefault="00E95DA1" w:rsidP="00C81B97">
      <w:pPr>
        <w:spacing w:line="300" w:lineRule="exact"/>
        <w:jc w:val="both"/>
        <w:rPr>
          <w:rFonts w:ascii="Times New Roman" w:hAnsi="Times New Roman" w:cs="Times New Roman"/>
          <w:i/>
          <w:sz w:val="22"/>
          <w:szCs w:val="22"/>
        </w:rPr>
      </w:pPr>
      <w:r>
        <w:rPr>
          <w:rFonts w:ascii="Times New Roman" w:hAnsi="Times New Roman" w:cs="Times New Roman"/>
          <w:i/>
          <w:sz w:val="22"/>
          <w:szCs w:val="22"/>
        </w:rPr>
        <w:t>Cuenta</w:t>
      </w:r>
      <w:r w:rsidRPr="00001120">
        <w:rPr>
          <w:rFonts w:ascii="Times New Roman" w:hAnsi="Times New Roman" w:cs="Times New Roman"/>
          <w:i/>
          <w:sz w:val="22"/>
          <w:szCs w:val="22"/>
        </w:rPr>
        <w:t>s del Estado de Pérdidas y Ganancias</w:t>
      </w:r>
    </w:p>
    <w:p w:rsidR="00C81B97" w:rsidRDefault="00C81B97" w:rsidP="00C81B97">
      <w:pPr>
        <w:spacing w:line="300" w:lineRule="exact"/>
        <w:ind w:firstLine="510"/>
        <w:jc w:val="both"/>
        <w:rPr>
          <w:rFonts w:ascii="Times New Roman" w:hAnsi="Times New Roman" w:cs="Times New Roman"/>
          <w:sz w:val="22"/>
          <w:szCs w:val="22"/>
        </w:rPr>
      </w:pPr>
    </w:p>
    <w:p w:rsidR="001B3089" w:rsidRPr="00C81B97" w:rsidRDefault="00C81B97" w:rsidP="00C81B97">
      <w:pPr>
        <w:spacing w:before="120" w:after="120" w:line="320" w:lineRule="exact"/>
        <w:ind w:firstLine="510"/>
        <w:jc w:val="both"/>
        <w:rPr>
          <w:rFonts w:ascii="Times New Roman" w:hAnsi="Times New Roman" w:cs="Times New Roman"/>
          <w:sz w:val="22"/>
          <w:szCs w:val="22"/>
        </w:rPr>
      </w:pPr>
      <w:r>
        <w:rPr>
          <w:rFonts w:ascii="Times New Roman" w:hAnsi="Times New Roman" w:cs="Times New Roman"/>
        </w:rPr>
        <w:t>L</w:t>
      </w:r>
      <w:r w:rsidRPr="00001120">
        <w:rPr>
          <w:rFonts w:ascii="Times New Roman" w:hAnsi="Times New Roman" w:cs="Times New Roman"/>
        </w:rPr>
        <w:t xml:space="preserve">as </w:t>
      </w:r>
      <w:r w:rsidRPr="00C81B97">
        <w:rPr>
          <w:rFonts w:ascii="Times New Roman" w:hAnsi="Times New Roman" w:cs="Times New Roman"/>
          <w:sz w:val="22"/>
          <w:szCs w:val="22"/>
        </w:rPr>
        <w:t>partidas del estado de pérdidas y ganancias son de naturaleza monetaria o no monetaria. Son no monetarias las cuentas de resultados que surgen de la asignación entre períodos de los activos y pasivos no monetarios. Ejemplos son el consumo de existencias en el costo de ventas, la depreciación de la propiedad, planta y equipo y la amortización de gastos prepagados y de saldos de los diferidos no monetarios</w:t>
      </w:r>
      <w:r>
        <w:rPr>
          <w:rFonts w:ascii="Times New Roman" w:hAnsi="Times New Roman" w:cs="Times New Roman"/>
          <w:sz w:val="22"/>
          <w:szCs w:val="22"/>
        </w:rPr>
        <w:t xml:space="preserve"> (parágrafos 97 al 106 </w:t>
      </w:r>
      <w:r w:rsidR="00114456" w:rsidRPr="00C81B97">
        <w:rPr>
          <w:rFonts w:ascii="Times New Roman" w:hAnsi="Times New Roman" w:cs="Times New Roman"/>
          <w:sz w:val="22"/>
          <w:szCs w:val="22"/>
        </w:rPr>
        <w:t xml:space="preserve">DPC </w:t>
      </w:r>
      <w:r w:rsidR="001B26D0" w:rsidRPr="00C81B97">
        <w:rPr>
          <w:rFonts w:ascii="Times New Roman" w:hAnsi="Times New Roman" w:cs="Times New Roman"/>
          <w:sz w:val="22"/>
          <w:szCs w:val="22"/>
        </w:rPr>
        <w:t>10</w:t>
      </w:r>
      <w:r>
        <w:rPr>
          <w:rFonts w:ascii="Times New Roman" w:hAnsi="Times New Roman" w:cs="Times New Roman"/>
          <w:sz w:val="22"/>
          <w:szCs w:val="22"/>
        </w:rPr>
        <w:t>; 26 NIC 29)</w:t>
      </w:r>
      <w:r w:rsidR="001B26D0" w:rsidRPr="00C81B97">
        <w:rPr>
          <w:rFonts w:ascii="Times New Roman" w:hAnsi="Times New Roman" w:cs="Times New Roman"/>
          <w:sz w:val="22"/>
          <w:szCs w:val="22"/>
        </w:rPr>
        <w:t xml:space="preserve"> </w:t>
      </w:r>
    </w:p>
    <w:p w:rsidR="00442D39" w:rsidRPr="00001120" w:rsidRDefault="00442D39" w:rsidP="00C81B97">
      <w:pPr>
        <w:pStyle w:val="Textoindependiente2"/>
        <w:spacing w:before="120" w:after="120" w:line="320" w:lineRule="exact"/>
        <w:ind w:left="-142" w:firstLine="510"/>
        <w:jc w:val="both"/>
        <w:rPr>
          <w:sz w:val="22"/>
          <w:szCs w:val="22"/>
          <w:lang w:eastAsia="en-US"/>
        </w:rPr>
      </w:pPr>
      <w:r w:rsidRPr="00001120">
        <w:rPr>
          <w:sz w:val="22"/>
          <w:szCs w:val="22"/>
          <w:lang w:eastAsia="en-US"/>
        </w:rPr>
        <w:t>El costo de ventas se reexpresa actualizando cada uno de los elementos que intervienen en su determinación: inventarios iniciales, compras, gastos de fabricación, mano de obra directa e inventarios finales, separadamente, asignándoles el factor de la fecha en la cual dichos elementos se originaron (parágrafo 102</w:t>
      </w:r>
      <w:r w:rsidR="00A36C25">
        <w:rPr>
          <w:sz w:val="22"/>
          <w:szCs w:val="22"/>
          <w:lang w:eastAsia="en-US"/>
        </w:rPr>
        <w:t xml:space="preserve"> DPC 10</w:t>
      </w:r>
      <w:r w:rsidRPr="00001120">
        <w:rPr>
          <w:sz w:val="22"/>
          <w:szCs w:val="22"/>
          <w:lang w:eastAsia="en-US"/>
        </w:rPr>
        <w:t>).</w:t>
      </w:r>
    </w:p>
    <w:p w:rsidR="00442D39" w:rsidRPr="00001120" w:rsidRDefault="00442D39" w:rsidP="00377028">
      <w:pPr>
        <w:pStyle w:val="Textoindependiente2"/>
        <w:spacing w:before="120" w:line="300" w:lineRule="exact"/>
        <w:ind w:left="-142" w:firstLine="510"/>
        <w:jc w:val="both"/>
        <w:rPr>
          <w:sz w:val="22"/>
          <w:szCs w:val="22"/>
          <w:lang w:eastAsia="en-US"/>
        </w:rPr>
      </w:pPr>
      <w:r w:rsidRPr="00001120">
        <w:rPr>
          <w:sz w:val="22"/>
          <w:szCs w:val="22"/>
          <w:lang w:eastAsia="en-US"/>
        </w:rPr>
        <w:lastRenderedPageBreak/>
        <w:t xml:space="preserve">Los gastos de depreciación del ejercicio se les asignan la misma fecha de origen de los activos que originaron su depreciación. </w:t>
      </w:r>
      <w:r w:rsidR="00177EB8" w:rsidRPr="00001120">
        <w:rPr>
          <w:sz w:val="22"/>
          <w:szCs w:val="22"/>
          <w:lang w:eastAsia="en-US"/>
        </w:rPr>
        <w:t>Igual tratamiento debe aplicarse a la depreciación acumulada y las disminuciones por retiro o ventas de esos activos (parágrafo 80 y 97</w:t>
      </w:r>
      <w:r w:rsidR="00E95DA1">
        <w:rPr>
          <w:sz w:val="22"/>
          <w:szCs w:val="22"/>
          <w:lang w:eastAsia="en-US"/>
        </w:rPr>
        <w:t xml:space="preserve"> DPC 10</w:t>
      </w:r>
      <w:r w:rsidR="00177EB8" w:rsidRPr="00001120">
        <w:rPr>
          <w:sz w:val="22"/>
          <w:szCs w:val="22"/>
          <w:lang w:eastAsia="en-US"/>
        </w:rPr>
        <w:t>)</w:t>
      </w:r>
    </w:p>
    <w:p w:rsidR="00442D39" w:rsidRPr="00001120" w:rsidRDefault="00442D39" w:rsidP="00377028">
      <w:pPr>
        <w:pStyle w:val="Textoindependiente2"/>
        <w:spacing w:before="120" w:line="300" w:lineRule="exact"/>
        <w:ind w:left="-142" w:firstLine="510"/>
        <w:jc w:val="both"/>
        <w:rPr>
          <w:sz w:val="22"/>
          <w:szCs w:val="22"/>
          <w:lang w:eastAsia="en-US"/>
        </w:rPr>
      </w:pPr>
      <w:r w:rsidRPr="00001120">
        <w:rPr>
          <w:sz w:val="22"/>
          <w:szCs w:val="22"/>
          <w:lang w:eastAsia="en-US"/>
        </w:rPr>
        <w:t>Las amortizaciones de gastos prepagados</w:t>
      </w:r>
      <w:r w:rsidR="00377028">
        <w:rPr>
          <w:sz w:val="22"/>
          <w:szCs w:val="22"/>
          <w:lang w:eastAsia="en-US"/>
        </w:rPr>
        <w:t>, intangibles,</w:t>
      </w:r>
      <w:r w:rsidRPr="00001120">
        <w:rPr>
          <w:sz w:val="22"/>
          <w:szCs w:val="22"/>
          <w:lang w:eastAsia="en-US"/>
        </w:rPr>
        <w:t xml:space="preserve"> gastos preoperacionales y de primas y o descuentos se reexpresan, asignándoles el factor de la fecha en la cual dichos activos o pasivos se originaron</w:t>
      </w:r>
      <w:r w:rsidR="00177EB8" w:rsidRPr="00001120">
        <w:rPr>
          <w:sz w:val="22"/>
          <w:szCs w:val="22"/>
          <w:lang w:eastAsia="en-US"/>
        </w:rPr>
        <w:t xml:space="preserve"> </w:t>
      </w:r>
      <w:r w:rsidR="00377028">
        <w:rPr>
          <w:sz w:val="22"/>
          <w:szCs w:val="22"/>
          <w:lang w:eastAsia="en-US"/>
        </w:rPr>
        <w:t>(</w:t>
      </w:r>
      <w:r w:rsidR="00177EB8" w:rsidRPr="00001120">
        <w:rPr>
          <w:sz w:val="22"/>
          <w:szCs w:val="22"/>
          <w:lang w:eastAsia="en-US"/>
        </w:rPr>
        <w:t>parágrafo 98</w:t>
      </w:r>
      <w:r w:rsidR="00E95DA1">
        <w:rPr>
          <w:sz w:val="22"/>
          <w:szCs w:val="22"/>
          <w:lang w:eastAsia="en-US"/>
        </w:rPr>
        <w:t xml:space="preserve"> DPC 10</w:t>
      </w:r>
      <w:r w:rsidR="00177EB8" w:rsidRPr="00001120">
        <w:rPr>
          <w:sz w:val="22"/>
          <w:szCs w:val="22"/>
          <w:lang w:eastAsia="en-US"/>
        </w:rPr>
        <w:t>)</w:t>
      </w:r>
      <w:r w:rsidRPr="00001120">
        <w:rPr>
          <w:sz w:val="22"/>
          <w:szCs w:val="22"/>
          <w:lang w:eastAsia="en-US"/>
        </w:rPr>
        <w:t>.</w:t>
      </w:r>
    </w:p>
    <w:p w:rsidR="00442D39" w:rsidRPr="00001120" w:rsidRDefault="00442D39" w:rsidP="00377028">
      <w:pPr>
        <w:pStyle w:val="Textoindependiente2"/>
        <w:spacing w:before="120" w:line="300" w:lineRule="exact"/>
        <w:ind w:left="-142" w:firstLine="510"/>
        <w:jc w:val="both"/>
        <w:rPr>
          <w:sz w:val="22"/>
          <w:szCs w:val="22"/>
          <w:lang w:eastAsia="en-US"/>
        </w:rPr>
      </w:pPr>
      <w:r w:rsidRPr="00001120">
        <w:rPr>
          <w:sz w:val="22"/>
          <w:szCs w:val="22"/>
          <w:lang w:eastAsia="en-US"/>
        </w:rPr>
        <w:t>La utilidad o pérdida en venta de acciones, de activos fijos y de otras partidas no monetarias se reexpresan actualizando cada uno de los elementos que intervienen en su determinación: costo de adquisición, depreciación acumulada y precio de venta; a este último se le asigna como origen la fecha en la cual se crea la obligación de pago para el comprador</w:t>
      </w:r>
      <w:r w:rsidR="00177EB8" w:rsidRPr="00001120">
        <w:rPr>
          <w:sz w:val="22"/>
          <w:szCs w:val="22"/>
          <w:lang w:eastAsia="en-US"/>
        </w:rPr>
        <w:t xml:space="preserve"> (parágrafo 99</w:t>
      </w:r>
      <w:r w:rsidR="00E95DA1">
        <w:rPr>
          <w:sz w:val="22"/>
          <w:szCs w:val="22"/>
          <w:lang w:eastAsia="en-US"/>
        </w:rPr>
        <w:t xml:space="preserve"> DPC 10</w:t>
      </w:r>
      <w:r w:rsidR="00177EB8" w:rsidRPr="00001120">
        <w:rPr>
          <w:sz w:val="22"/>
          <w:szCs w:val="22"/>
          <w:lang w:eastAsia="en-US"/>
        </w:rPr>
        <w:t>)</w:t>
      </w:r>
      <w:r w:rsidRPr="00001120">
        <w:rPr>
          <w:sz w:val="22"/>
          <w:szCs w:val="22"/>
          <w:lang w:eastAsia="en-US"/>
        </w:rPr>
        <w:t>.</w:t>
      </w:r>
    </w:p>
    <w:p w:rsidR="00ED3699" w:rsidRDefault="00ED3699" w:rsidP="00ED3699">
      <w:pPr>
        <w:pStyle w:val="Textoindependiente"/>
        <w:spacing w:before="120" w:line="300" w:lineRule="exact"/>
        <w:rPr>
          <w:rFonts w:ascii="Times New Roman" w:hAnsi="Times New Roman" w:cs="Times New Roman"/>
          <w:i/>
          <w:sz w:val="22"/>
          <w:szCs w:val="22"/>
        </w:rPr>
      </w:pPr>
    </w:p>
    <w:p w:rsidR="00001120" w:rsidRDefault="00ED3699" w:rsidP="00ED3699">
      <w:pPr>
        <w:pStyle w:val="Textoindependiente"/>
        <w:spacing w:before="120" w:line="300" w:lineRule="exact"/>
        <w:rPr>
          <w:rFonts w:ascii="Times New Roman" w:hAnsi="Times New Roman" w:cs="Times New Roman"/>
          <w:i/>
          <w:sz w:val="22"/>
          <w:szCs w:val="22"/>
        </w:rPr>
      </w:pPr>
      <w:r>
        <w:rPr>
          <w:rFonts w:ascii="Times New Roman" w:hAnsi="Times New Roman" w:cs="Times New Roman"/>
          <w:i/>
          <w:sz w:val="22"/>
          <w:szCs w:val="22"/>
        </w:rPr>
        <w:t>La Fecha de Origen</w:t>
      </w:r>
    </w:p>
    <w:p w:rsidR="00602AF9" w:rsidRDefault="00ED3699" w:rsidP="00ED3699">
      <w:pPr>
        <w:pStyle w:val="Textoindependiente"/>
        <w:spacing w:before="120" w:line="300" w:lineRule="exact"/>
        <w:ind w:firstLine="510"/>
        <w:rPr>
          <w:rFonts w:ascii="Times New Roman" w:hAnsi="Times New Roman" w:cs="Times New Roman"/>
          <w:sz w:val="22"/>
          <w:szCs w:val="22"/>
        </w:rPr>
      </w:pPr>
      <w:r w:rsidRPr="00ED3699">
        <w:rPr>
          <w:rFonts w:ascii="Times New Roman" w:hAnsi="Times New Roman" w:cs="Times New Roman"/>
          <w:sz w:val="22"/>
          <w:szCs w:val="22"/>
        </w:rPr>
        <w:t>Es un elemento de suma importancia en la determinación de los valores ajustados por efectos de la inflación. De hecho, la fecha de origen determina el inicio del proceso de reexpresión de las partidas de los estados financieros</w:t>
      </w:r>
      <w:r>
        <w:rPr>
          <w:rFonts w:ascii="Times New Roman" w:hAnsi="Times New Roman" w:cs="Times New Roman"/>
          <w:sz w:val="22"/>
          <w:szCs w:val="22"/>
        </w:rPr>
        <w:t xml:space="preserve">. Al respecto la NIC 29, parágrafo 15 “…y por tanto </w:t>
      </w:r>
      <w:r w:rsidR="00602AF9">
        <w:rPr>
          <w:rFonts w:ascii="Times New Roman" w:hAnsi="Times New Roman" w:cs="Times New Roman"/>
          <w:sz w:val="22"/>
          <w:szCs w:val="22"/>
        </w:rPr>
        <w:t>están</w:t>
      </w:r>
      <w:r>
        <w:rPr>
          <w:rFonts w:ascii="Times New Roman" w:hAnsi="Times New Roman" w:cs="Times New Roman"/>
          <w:sz w:val="22"/>
          <w:szCs w:val="22"/>
        </w:rPr>
        <w:t xml:space="preserve"> expresadas desde el momento de su adquisició</w:t>
      </w:r>
      <w:r w:rsidR="00602AF9">
        <w:rPr>
          <w:rFonts w:ascii="Times New Roman" w:hAnsi="Times New Roman" w:cs="Times New Roman"/>
          <w:sz w:val="22"/>
          <w:szCs w:val="22"/>
        </w:rPr>
        <w:t xml:space="preserve">n”. </w:t>
      </w:r>
    </w:p>
    <w:p w:rsidR="00ED3699" w:rsidRDefault="00602AF9" w:rsidP="00ED3699">
      <w:pPr>
        <w:pStyle w:val="Textoindependiente"/>
        <w:spacing w:before="120" w:line="300" w:lineRule="exact"/>
        <w:ind w:firstLine="510"/>
        <w:rPr>
          <w:rFonts w:ascii="Times New Roman" w:hAnsi="Times New Roman" w:cs="Times New Roman"/>
          <w:sz w:val="22"/>
          <w:szCs w:val="22"/>
        </w:rPr>
      </w:pPr>
      <w:r>
        <w:rPr>
          <w:rFonts w:ascii="Times New Roman" w:hAnsi="Times New Roman" w:cs="Times New Roman"/>
          <w:sz w:val="22"/>
          <w:szCs w:val="22"/>
        </w:rPr>
        <w:t>En este sentido, las partidas de la propiedad, planta y equipo, inversiones, inventarios, intangibles, y otros activos no monetarios se reexpresarán a partir de la fecha de su adquisición o aportación. Con relación a la fecha de origen de los productos en proceso y a los productos terminados, esta se determina con base en las fechas en que se incurrió en los costos de compra y transformación que se encuentren acumulados en ellos.</w:t>
      </w:r>
    </w:p>
    <w:p w:rsidR="00602AF9" w:rsidRDefault="00602AF9" w:rsidP="00ED3699">
      <w:pPr>
        <w:pStyle w:val="Textoindependiente"/>
        <w:spacing w:before="120" w:line="300" w:lineRule="exact"/>
        <w:ind w:firstLine="510"/>
        <w:rPr>
          <w:rFonts w:ascii="Times New Roman" w:hAnsi="Times New Roman" w:cs="Times New Roman"/>
          <w:sz w:val="22"/>
          <w:szCs w:val="22"/>
        </w:rPr>
      </w:pPr>
      <w:r>
        <w:rPr>
          <w:rFonts w:ascii="Times New Roman" w:hAnsi="Times New Roman" w:cs="Times New Roman"/>
          <w:sz w:val="22"/>
          <w:szCs w:val="22"/>
        </w:rPr>
        <w:t>En el caso activos revalorizados, el parágrafo</w:t>
      </w:r>
      <w:r w:rsidR="00474907">
        <w:rPr>
          <w:rFonts w:ascii="Times New Roman" w:hAnsi="Times New Roman" w:cs="Times New Roman"/>
          <w:sz w:val="22"/>
          <w:szCs w:val="22"/>
        </w:rPr>
        <w:t xml:space="preserve"> 18 de la NIC 29 sugiere que su fecha de origen se corresponde con el momento en que tales revalorizaciones se realizaron.</w:t>
      </w:r>
    </w:p>
    <w:p w:rsidR="00474907" w:rsidRDefault="00474907" w:rsidP="00ED3699">
      <w:pPr>
        <w:pStyle w:val="Textoindependiente"/>
        <w:spacing w:before="120" w:line="300" w:lineRule="exact"/>
        <w:ind w:firstLine="510"/>
        <w:rPr>
          <w:rFonts w:ascii="Times New Roman" w:hAnsi="Times New Roman" w:cs="Times New Roman"/>
          <w:sz w:val="22"/>
          <w:szCs w:val="22"/>
        </w:rPr>
      </w:pPr>
      <w:r>
        <w:rPr>
          <w:rFonts w:ascii="Times New Roman" w:hAnsi="Times New Roman" w:cs="Times New Roman"/>
          <w:sz w:val="22"/>
          <w:szCs w:val="22"/>
        </w:rPr>
        <w:t>Particularmente, la Declaración de Principios Contables número 10, claramente estable un elemento de suma importancia que complementa lo indicado en la NIC 29. El parágrafo 36 expresa que las partidas de los estados financieros se clasifican en monetarias y no monetarias. Es precisamente esta afirmación la que sugiere que la fecha de origen de una partida monetaria se corresponde con la fecha en la cual se presentan los estados financieros ajustados por primera vez, no antes.</w:t>
      </w:r>
      <w:r w:rsidR="00E75479">
        <w:rPr>
          <w:rFonts w:ascii="Times New Roman" w:hAnsi="Times New Roman" w:cs="Times New Roman"/>
          <w:sz w:val="22"/>
          <w:szCs w:val="22"/>
        </w:rPr>
        <w:t xml:space="preserve"> Asimismo, para los inventarios la fecha de origen se debe determinar por unidades, capas y/o categorias,  agrupando en renglones por unidad de tiempo; la obsolescencia para inventarios, debe tener la misma fecha de origen del rubro de inventario para los cuales fue creada.</w:t>
      </w:r>
    </w:p>
    <w:p w:rsidR="00BE29E0" w:rsidRDefault="00BE29E0" w:rsidP="00ED3699">
      <w:pPr>
        <w:pStyle w:val="Textoindependiente"/>
        <w:spacing w:before="120" w:line="300" w:lineRule="exact"/>
        <w:ind w:firstLine="510"/>
        <w:rPr>
          <w:rFonts w:ascii="Times New Roman" w:hAnsi="Times New Roman" w:cs="Times New Roman"/>
          <w:sz w:val="22"/>
          <w:szCs w:val="22"/>
        </w:rPr>
      </w:pPr>
      <w:r>
        <w:rPr>
          <w:rFonts w:ascii="Times New Roman" w:hAnsi="Times New Roman" w:cs="Times New Roman"/>
          <w:sz w:val="22"/>
          <w:szCs w:val="22"/>
        </w:rPr>
        <w:t xml:space="preserve">Para la reexpresión del costo de venta (o costo de producción y venta) el parágrafo 30 de la NIC 29 indica que la fecha de origen se determina en función del momento del consumo aplicando un índice general de precios. </w:t>
      </w:r>
    </w:p>
    <w:p w:rsidR="00E75479" w:rsidRDefault="00E75479" w:rsidP="00ED3699">
      <w:pPr>
        <w:pStyle w:val="Textoindependiente"/>
        <w:spacing w:before="120" w:line="300" w:lineRule="exact"/>
        <w:ind w:firstLine="510"/>
        <w:rPr>
          <w:rFonts w:ascii="Times New Roman" w:hAnsi="Times New Roman" w:cs="Times New Roman"/>
          <w:sz w:val="22"/>
          <w:szCs w:val="22"/>
        </w:rPr>
      </w:pPr>
      <w:r>
        <w:rPr>
          <w:rFonts w:ascii="Times New Roman" w:hAnsi="Times New Roman" w:cs="Times New Roman"/>
          <w:sz w:val="22"/>
          <w:szCs w:val="22"/>
        </w:rPr>
        <w:t xml:space="preserve">Por su parte, los parágrafos 80 y 97 de la Declaración puntualizan la fecha de origen para los gastos de depreciación, la depreciación acumulada al descarte del inmovilizado material, igualmente se corresponde con la fecha en la cual tales activos originan su depreciación. </w:t>
      </w:r>
      <w:r>
        <w:rPr>
          <w:rFonts w:ascii="Times New Roman" w:hAnsi="Times New Roman" w:cs="Times New Roman"/>
          <w:sz w:val="22"/>
          <w:szCs w:val="22"/>
        </w:rPr>
        <w:lastRenderedPageBreak/>
        <w:t>Análogamente, estos conceptos deben ser aplicados a cualquier otra partida no monetaria con similares características.</w:t>
      </w:r>
    </w:p>
    <w:p w:rsidR="00E75479" w:rsidRDefault="00E75479" w:rsidP="00ED3699">
      <w:pPr>
        <w:pStyle w:val="Textoindependiente"/>
        <w:spacing w:before="120" w:line="300" w:lineRule="exact"/>
        <w:ind w:firstLine="510"/>
        <w:rPr>
          <w:rFonts w:ascii="Times New Roman" w:hAnsi="Times New Roman" w:cs="Times New Roman"/>
          <w:sz w:val="22"/>
          <w:szCs w:val="22"/>
        </w:rPr>
      </w:pPr>
      <w:r>
        <w:rPr>
          <w:rFonts w:ascii="Times New Roman" w:hAnsi="Times New Roman" w:cs="Times New Roman"/>
          <w:sz w:val="22"/>
          <w:szCs w:val="22"/>
        </w:rPr>
        <w:t>Con relación al patrimonio, la NIC 29 en su parágrafo 24</w:t>
      </w:r>
      <w:r w:rsidR="007656F7">
        <w:rPr>
          <w:rFonts w:ascii="Times New Roman" w:hAnsi="Times New Roman" w:cs="Times New Roman"/>
          <w:sz w:val="22"/>
          <w:szCs w:val="22"/>
        </w:rPr>
        <w:t xml:space="preserve"> indica que la fecha de origen de los componentes del rubro, a excepción de las utilidades (o déficit) acumulados, las reservas por revalorización de activos, se reexpresan aplicando un índice general de precios a las diferentes partidas con base en las fchas en que fueron aportadas o en el momento en que surgierom por cualquier otra vía. Para el caso de las utilidades acumuladas, su reexpresión se realizara en función de los componentes que integran dicha partida.</w:t>
      </w:r>
    </w:p>
    <w:p w:rsidR="007656F7" w:rsidRPr="00ED3699" w:rsidRDefault="007656F7" w:rsidP="00ED3699">
      <w:pPr>
        <w:pStyle w:val="Textoindependiente"/>
        <w:spacing w:before="120" w:line="300" w:lineRule="exact"/>
        <w:ind w:firstLine="510"/>
        <w:rPr>
          <w:rFonts w:ascii="Times New Roman" w:hAnsi="Times New Roman" w:cs="Times New Roman"/>
          <w:sz w:val="22"/>
          <w:szCs w:val="22"/>
        </w:rPr>
      </w:pPr>
    </w:p>
    <w:p w:rsidR="00D73A21" w:rsidRPr="00377028" w:rsidRDefault="00D73A21" w:rsidP="00377028">
      <w:pPr>
        <w:pStyle w:val="Textoindependiente"/>
        <w:spacing w:before="120" w:line="300" w:lineRule="exact"/>
        <w:rPr>
          <w:rFonts w:ascii="Times New Roman" w:hAnsi="Times New Roman" w:cs="Times New Roman"/>
          <w:i/>
          <w:caps/>
          <w:sz w:val="22"/>
          <w:szCs w:val="22"/>
        </w:rPr>
      </w:pPr>
      <w:r w:rsidRPr="00377028">
        <w:rPr>
          <w:rFonts w:ascii="Times New Roman" w:hAnsi="Times New Roman" w:cs="Times New Roman"/>
          <w:i/>
          <w:sz w:val="22"/>
          <w:szCs w:val="22"/>
        </w:rPr>
        <w:t xml:space="preserve">Modelo de </w:t>
      </w:r>
      <w:smartTag w:uri="urn:schemas-microsoft-com:office:smarttags" w:element="PersonName">
        <w:smartTagPr>
          <w:attr w:name="ProductID" w:val="la Cedula Sumaria"/>
        </w:smartTagPr>
        <w:r w:rsidRPr="00377028">
          <w:rPr>
            <w:rFonts w:ascii="Times New Roman" w:hAnsi="Times New Roman" w:cs="Times New Roman"/>
            <w:i/>
            <w:sz w:val="22"/>
            <w:szCs w:val="22"/>
          </w:rPr>
          <w:t>la Cedula Sumaria</w:t>
        </w:r>
      </w:smartTag>
      <w:r w:rsidRPr="00377028">
        <w:rPr>
          <w:rFonts w:ascii="Times New Roman" w:hAnsi="Times New Roman" w:cs="Times New Roman"/>
          <w:i/>
          <w:sz w:val="22"/>
          <w:szCs w:val="22"/>
        </w:rPr>
        <w:t xml:space="preserve"> para </w:t>
      </w:r>
      <w:smartTag w:uri="urn:schemas-microsoft-com:office:smarttags" w:element="PersonName">
        <w:smartTagPr>
          <w:attr w:name="ProductID" w:val="la Correcci￳n Monetaria"/>
        </w:smartTagPr>
        <w:r w:rsidRPr="00377028">
          <w:rPr>
            <w:rFonts w:ascii="Times New Roman" w:hAnsi="Times New Roman" w:cs="Times New Roman"/>
            <w:i/>
            <w:sz w:val="22"/>
            <w:szCs w:val="22"/>
          </w:rPr>
          <w:t>la Corrección Monetaria</w:t>
        </w:r>
      </w:smartTag>
      <w:r w:rsidRPr="00377028">
        <w:rPr>
          <w:rFonts w:ascii="Times New Roman" w:hAnsi="Times New Roman" w:cs="Times New Roman"/>
          <w:i/>
          <w:sz w:val="22"/>
          <w:szCs w:val="22"/>
        </w:rPr>
        <w:t xml:space="preserve"> por efectos de la inflación según el método del </w:t>
      </w:r>
      <w:r w:rsidR="00377028">
        <w:rPr>
          <w:rFonts w:ascii="Times New Roman" w:hAnsi="Times New Roman" w:cs="Times New Roman"/>
          <w:i/>
          <w:sz w:val="22"/>
          <w:szCs w:val="22"/>
        </w:rPr>
        <w:t>Índice</w:t>
      </w:r>
      <w:r w:rsidRPr="00377028">
        <w:rPr>
          <w:rFonts w:ascii="Times New Roman" w:hAnsi="Times New Roman" w:cs="Times New Roman"/>
          <w:i/>
          <w:sz w:val="22"/>
          <w:szCs w:val="22"/>
        </w:rPr>
        <w:t xml:space="preserve"> General de Precios o de Precio Constante</w:t>
      </w:r>
    </w:p>
    <w:p w:rsidR="00D73A21" w:rsidRPr="00D73A21" w:rsidRDefault="00D73A21" w:rsidP="00377028">
      <w:pPr>
        <w:pStyle w:val="Textoindependiente"/>
        <w:spacing w:before="120" w:line="300" w:lineRule="exact"/>
        <w:ind w:firstLine="510"/>
        <w:rPr>
          <w:rFonts w:ascii="Times New Roman" w:hAnsi="Times New Roman" w:cs="Times New Roman"/>
          <w:sz w:val="22"/>
          <w:szCs w:val="22"/>
        </w:rPr>
      </w:pPr>
      <w:r w:rsidRPr="00D73A21">
        <w:rPr>
          <w:rFonts w:ascii="Times New Roman" w:hAnsi="Times New Roman" w:cs="Times New Roman"/>
          <w:sz w:val="22"/>
          <w:szCs w:val="22"/>
        </w:rPr>
        <w:t>El método del nivel general de precios o de precios constantes mantiene conceptualmente el principio de los costos históricos. La metodología consiste en la aplicación de un coeficiente corrector por inflación al costo histórico de una partida no monetaria para convertirla, ajustarla o reexpresarla a una unidad monetaria de poder adquisitivo constante para luego integrarla a los estados financieros expresados a moneda constante.</w:t>
      </w:r>
    </w:p>
    <w:p w:rsidR="00D73A21" w:rsidRPr="00D73A21" w:rsidRDefault="00D73A21" w:rsidP="00377028">
      <w:pPr>
        <w:pStyle w:val="Textoindependiente"/>
        <w:spacing w:before="120" w:line="300" w:lineRule="exact"/>
        <w:ind w:firstLine="510"/>
        <w:rPr>
          <w:rFonts w:ascii="Times New Roman" w:hAnsi="Times New Roman" w:cs="Times New Roman"/>
          <w:sz w:val="22"/>
          <w:szCs w:val="22"/>
        </w:rPr>
      </w:pPr>
      <w:r w:rsidRPr="00D73A21">
        <w:rPr>
          <w:rFonts w:ascii="Times New Roman" w:hAnsi="Times New Roman" w:cs="Times New Roman"/>
          <w:sz w:val="22"/>
          <w:szCs w:val="22"/>
        </w:rPr>
        <w:t>Desde este punto de vista, el método parte de los costos históricos a los cuales se les aplica el coeficiente corrector por inflación, compuesto por los INPC, de acuerdo a la antigüedad o fecha de origen de la partida a ajustar para así calcular un valor actualizado o un valor expresado en unidades monetarias de igual poder adquisitivo o valor constante.</w:t>
      </w:r>
    </w:p>
    <w:p w:rsidR="00D73A21" w:rsidRPr="00D73A21" w:rsidRDefault="00D73A21" w:rsidP="00377028">
      <w:pPr>
        <w:pStyle w:val="Textoindependiente"/>
        <w:spacing w:before="120" w:after="120" w:line="300" w:lineRule="exact"/>
        <w:ind w:firstLine="510"/>
        <w:rPr>
          <w:rFonts w:ascii="Times New Roman" w:hAnsi="Times New Roman" w:cs="Times New Roman"/>
          <w:sz w:val="22"/>
          <w:szCs w:val="22"/>
        </w:rPr>
      </w:pPr>
      <w:r w:rsidRPr="00D73A21">
        <w:rPr>
          <w:rFonts w:ascii="Times New Roman" w:hAnsi="Times New Roman" w:cs="Times New Roman"/>
          <w:sz w:val="22"/>
          <w:szCs w:val="22"/>
        </w:rPr>
        <w:t>El coeficiente corrector consiste en la relacionar el INPC correspondiente a la última fecha de actualización versus el INPC de la fecha de origen de la partida no monetaria que se trate:</w:t>
      </w:r>
    </w:p>
    <w:p w:rsidR="00D73A21" w:rsidRPr="00D73A21" w:rsidRDefault="00D73A21" w:rsidP="00D73A21">
      <w:pPr>
        <w:pStyle w:val="Textoindependiente"/>
        <w:jc w:val="center"/>
        <w:rPr>
          <w:rFonts w:ascii="Times New Roman" w:hAnsi="Times New Roman" w:cs="Times New Roman"/>
          <w:szCs w:val="20"/>
        </w:rPr>
      </w:pPr>
      <w:r w:rsidRPr="00D73A21">
        <w:rPr>
          <w:rFonts w:ascii="Times New Roman" w:hAnsi="Times New Roman" w:cs="Times New Roman"/>
          <w:szCs w:val="20"/>
          <w:u w:val="single"/>
        </w:rPr>
        <w:t>INPC fecha actual</w:t>
      </w:r>
    </w:p>
    <w:p w:rsidR="00D73A21" w:rsidRPr="00D73A21" w:rsidRDefault="00D73A21" w:rsidP="00D73A21">
      <w:pPr>
        <w:pStyle w:val="Textoindependiente"/>
        <w:jc w:val="center"/>
        <w:rPr>
          <w:rFonts w:ascii="Times New Roman" w:hAnsi="Times New Roman" w:cs="Times New Roman"/>
          <w:szCs w:val="20"/>
        </w:rPr>
      </w:pPr>
      <w:r w:rsidRPr="00D73A21">
        <w:rPr>
          <w:rFonts w:ascii="Times New Roman" w:hAnsi="Times New Roman" w:cs="Times New Roman"/>
          <w:szCs w:val="20"/>
        </w:rPr>
        <w:t>INPC fecha origen</w:t>
      </w:r>
    </w:p>
    <w:p w:rsidR="00D73A21" w:rsidRPr="00D73A21" w:rsidRDefault="00D73A21" w:rsidP="00D73A21">
      <w:pPr>
        <w:pStyle w:val="Textoindependiente"/>
        <w:spacing w:line="300" w:lineRule="exact"/>
        <w:rPr>
          <w:rFonts w:ascii="Times New Roman" w:hAnsi="Times New Roman" w:cs="Times New Roman"/>
          <w:szCs w:val="20"/>
        </w:rPr>
      </w:pPr>
    </w:p>
    <w:p w:rsidR="00D73A21" w:rsidRPr="005B7362" w:rsidRDefault="00D73A21" w:rsidP="00D73A21">
      <w:pPr>
        <w:pStyle w:val="Textoindependiente"/>
        <w:spacing w:line="300" w:lineRule="exact"/>
        <w:rPr>
          <w:rFonts w:ascii="Times New Roman" w:hAnsi="Times New Roman" w:cs="Times New Roman"/>
          <w:sz w:val="22"/>
          <w:szCs w:val="22"/>
        </w:rPr>
      </w:pPr>
      <w:r w:rsidRPr="00D73A21">
        <w:rPr>
          <w:rFonts w:ascii="Times New Roman" w:hAnsi="Times New Roman" w:cs="Times New Roman"/>
          <w:sz w:val="22"/>
          <w:szCs w:val="22"/>
        </w:rPr>
        <w:t>Modelo de la cédula sumaria para el proceso de ajuste por inflación (fase I)</w:t>
      </w:r>
    </w:p>
    <w:p w:rsidR="00D73A21" w:rsidRPr="00B4363A" w:rsidRDefault="00D73A21" w:rsidP="00D73A21">
      <w:pPr>
        <w:pStyle w:val="Textoindependiente"/>
        <w:spacing w:line="300" w:lineRule="exact"/>
        <w:rPr>
          <w:rFonts w:ascii="Times New Roman" w:hAnsi="Times New Roman" w:cs="Times New Roman"/>
          <w:sz w:val="16"/>
          <w:szCs w:val="16"/>
        </w:rPr>
      </w:pPr>
    </w:p>
    <w:tbl>
      <w:tblPr>
        <w:tblW w:w="9058" w:type="dxa"/>
        <w:jc w:val="center"/>
        <w:tblLook w:val="01E0"/>
      </w:tblPr>
      <w:tblGrid>
        <w:gridCol w:w="1488"/>
        <w:gridCol w:w="1120"/>
        <w:gridCol w:w="1442"/>
        <w:gridCol w:w="1121"/>
        <w:gridCol w:w="1121"/>
        <w:gridCol w:w="1366"/>
        <w:gridCol w:w="1400"/>
      </w:tblGrid>
      <w:tr w:rsidR="00D73A21" w:rsidRPr="00121B96" w:rsidTr="00577FC3">
        <w:trPr>
          <w:jc w:val="center"/>
        </w:trPr>
        <w:tc>
          <w:tcPr>
            <w:tcW w:w="1488" w:type="dxa"/>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p>
        </w:tc>
        <w:tc>
          <w:tcPr>
            <w:tcW w:w="1120" w:type="dxa"/>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p>
        </w:tc>
        <w:tc>
          <w:tcPr>
            <w:tcW w:w="1442" w:type="dxa"/>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p>
        </w:tc>
        <w:tc>
          <w:tcPr>
            <w:tcW w:w="2242" w:type="dxa"/>
            <w:gridSpan w:val="2"/>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Coeficiente Corrector</w:t>
            </w:r>
          </w:p>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por inflación</w:t>
            </w:r>
          </w:p>
        </w:tc>
        <w:tc>
          <w:tcPr>
            <w:tcW w:w="1366" w:type="dxa"/>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p>
        </w:tc>
        <w:tc>
          <w:tcPr>
            <w:tcW w:w="1400" w:type="dxa"/>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p>
        </w:tc>
      </w:tr>
      <w:tr w:rsidR="00D73A21" w:rsidRPr="00121B96" w:rsidTr="00577FC3">
        <w:trPr>
          <w:jc w:val="center"/>
        </w:trPr>
        <w:tc>
          <w:tcPr>
            <w:tcW w:w="1488"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Partida</w:t>
            </w:r>
          </w:p>
        </w:tc>
        <w:tc>
          <w:tcPr>
            <w:tcW w:w="1120"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Fecha de Origen</w:t>
            </w:r>
          </w:p>
        </w:tc>
        <w:tc>
          <w:tcPr>
            <w:tcW w:w="1442"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Costo Histórico</w:t>
            </w:r>
          </w:p>
        </w:tc>
        <w:tc>
          <w:tcPr>
            <w:tcW w:w="1121"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INPC Origen</w:t>
            </w:r>
          </w:p>
        </w:tc>
        <w:tc>
          <w:tcPr>
            <w:tcW w:w="1121"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INPC actual</w:t>
            </w:r>
          </w:p>
        </w:tc>
        <w:tc>
          <w:tcPr>
            <w:tcW w:w="1366"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Valor Ajustado</w:t>
            </w:r>
          </w:p>
        </w:tc>
        <w:tc>
          <w:tcPr>
            <w:tcW w:w="1400"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Ajuste neto</w:t>
            </w:r>
          </w:p>
        </w:tc>
      </w:tr>
      <w:tr w:rsidR="00D73A21" w:rsidRPr="00121B96" w:rsidTr="00577FC3">
        <w:trPr>
          <w:trHeight w:val="284"/>
          <w:jc w:val="center"/>
        </w:trPr>
        <w:tc>
          <w:tcPr>
            <w:tcW w:w="1488" w:type="dxa"/>
            <w:tcBorders>
              <w:top w:val="single" w:sz="4" w:space="0" w:color="auto"/>
            </w:tcBorders>
            <w:vAlign w:val="center"/>
          </w:tcPr>
          <w:p w:rsidR="00D73A21" w:rsidRPr="00121B96" w:rsidRDefault="00D73A21" w:rsidP="00B74ECD">
            <w:pPr>
              <w:pStyle w:val="Textoindependiente"/>
              <w:rPr>
                <w:rFonts w:ascii="Times New Roman" w:hAnsi="Times New Roman" w:cs="Times New Roman"/>
                <w:szCs w:val="20"/>
              </w:rPr>
            </w:pPr>
            <w:r w:rsidRPr="00121B96">
              <w:rPr>
                <w:rFonts w:ascii="Times New Roman" w:hAnsi="Times New Roman" w:cs="Times New Roman"/>
                <w:szCs w:val="20"/>
              </w:rPr>
              <w:t>Inventario</w:t>
            </w:r>
          </w:p>
        </w:tc>
        <w:tc>
          <w:tcPr>
            <w:tcW w:w="1120" w:type="dxa"/>
            <w:tcBorders>
              <w:top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10</w:t>
            </w:r>
            <w:r w:rsidRPr="00121B96">
              <w:rPr>
                <w:rFonts w:ascii="Times New Roman" w:hAnsi="Times New Roman" w:cs="Times New Roman"/>
                <w:szCs w:val="20"/>
              </w:rPr>
              <w:t>/20</w:t>
            </w:r>
            <w:r>
              <w:rPr>
                <w:rFonts w:ascii="Times New Roman" w:hAnsi="Times New Roman" w:cs="Times New Roman"/>
                <w:szCs w:val="20"/>
              </w:rPr>
              <w:t>13</w:t>
            </w:r>
          </w:p>
        </w:tc>
        <w:tc>
          <w:tcPr>
            <w:tcW w:w="1442" w:type="dxa"/>
            <w:tcBorders>
              <w:top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2.500,</w:t>
            </w:r>
            <w:r w:rsidRPr="00121B96">
              <w:rPr>
                <w:rFonts w:ascii="Times New Roman" w:hAnsi="Times New Roman" w:cs="Times New Roman"/>
                <w:szCs w:val="20"/>
              </w:rPr>
              <w:t>00</w:t>
            </w:r>
          </w:p>
        </w:tc>
        <w:tc>
          <w:tcPr>
            <w:tcW w:w="1121" w:type="dxa"/>
            <w:tcBorders>
              <w:top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464,9</w:t>
            </w:r>
          </w:p>
        </w:tc>
        <w:tc>
          <w:tcPr>
            <w:tcW w:w="1121" w:type="dxa"/>
            <w:tcBorders>
              <w:top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498,1</w:t>
            </w:r>
          </w:p>
        </w:tc>
        <w:tc>
          <w:tcPr>
            <w:tcW w:w="1366" w:type="dxa"/>
            <w:tcBorders>
              <w:top w:val="single" w:sz="4" w:space="0" w:color="auto"/>
            </w:tcBorders>
            <w:vAlign w:val="center"/>
          </w:tcPr>
          <w:p w:rsidR="00D73A21" w:rsidRPr="00121B96" w:rsidRDefault="00D73A21" w:rsidP="00B74ECD">
            <w:pPr>
              <w:pStyle w:val="Textoindependiente"/>
              <w:jc w:val="right"/>
              <w:rPr>
                <w:rFonts w:ascii="Times New Roman" w:hAnsi="Times New Roman" w:cs="Times New Roman"/>
                <w:szCs w:val="20"/>
              </w:rPr>
            </w:pPr>
            <w:r>
              <w:rPr>
                <w:rFonts w:ascii="Times New Roman" w:hAnsi="Times New Roman" w:cs="Times New Roman"/>
                <w:szCs w:val="20"/>
              </w:rPr>
              <w:t>2.678,53</w:t>
            </w:r>
          </w:p>
        </w:tc>
        <w:tc>
          <w:tcPr>
            <w:tcW w:w="1400" w:type="dxa"/>
            <w:tcBorders>
              <w:top w:val="single" w:sz="4" w:space="0" w:color="auto"/>
            </w:tcBorders>
            <w:vAlign w:val="center"/>
          </w:tcPr>
          <w:p w:rsidR="00D73A21" w:rsidRPr="00121B96" w:rsidRDefault="00D73A21" w:rsidP="00B74ECD">
            <w:pPr>
              <w:pStyle w:val="Textoindependiente"/>
              <w:jc w:val="right"/>
              <w:rPr>
                <w:rFonts w:ascii="Times New Roman" w:hAnsi="Times New Roman" w:cs="Times New Roman"/>
                <w:szCs w:val="20"/>
              </w:rPr>
            </w:pPr>
            <w:r>
              <w:rPr>
                <w:rFonts w:ascii="Times New Roman" w:hAnsi="Times New Roman" w:cs="Times New Roman"/>
                <w:szCs w:val="20"/>
              </w:rPr>
              <w:t>178,53</w:t>
            </w:r>
          </w:p>
        </w:tc>
      </w:tr>
      <w:tr w:rsidR="00D73A21" w:rsidRPr="00121B96" w:rsidTr="00577FC3">
        <w:trPr>
          <w:trHeight w:val="284"/>
          <w:jc w:val="center"/>
        </w:trPr>
        <w:tc>
          <w:tcPr>
            <w:tcW w:w="1488" w:type="dxa"/>
            <w:vAlign w:val="center"/>
          </w:tcPr>
          <w:p w:rsidR="00D73A21" w:rsidRPr="00121B96" w:rsidRDefault="00D73A21" w:rsidP="00B74ECD">
            <w:pPr>
              <w:pStyle w:val="Textoindependiente"/>
              <w:rPr>
                <w:rFonts w:ascii="Times New Roman" w:hAnsi="Times New Roman" w:cs="Times New Roman"/>
                <w:szCs w:val="20"/>
              </w:rPr>
            </w:pPr>
            <w:r w:rsidRPr="00121B96">
              <w:rPr>
                <w:rFonts w:ascii="Times New Roman" w:hAnsi="Times New Roman" w:cs="Times New Roman"/>
                <w:szCs w:val="20"/>
              </w:rPr>
              <w:t>Terreno</w:t>
            </w:r>
          </w:p>
        </w:tc>
        <w:tc>
          <w:tcPr>
            <w:tcW w:w="1120" w:type="dxa"/>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5/200</w:t>
            </w:r>
            <w:r>
              <w:rPr>
                <w:rFonts w:ascii="Times New Roman" w:hAnsi="Times New Roman" w:cs="Times New Roman"/>
                <w:szCs w:val="20"/>
              </w:rPr>
              <w:t>9</w:t>
            </w:r>
          </w:p>
        </w:tc>
        <w:tc>
          <w:tcPr>
            <w:tcW w:w="1442" w:type="dxa"/>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6.000.</w:t>
            </w:r>
            <w:r w:rsidRPr="00121B96">
              <w:rPr>
                <w:rFonts w:ascii="Times New Roman" w:hAnsi="Times New Roman" w:cs="Times New Roman"/>
                <w:szCs w:val="20"/>
              </w:rPr>
              <w:t>00</w:t>
            </w:r>
          </w:p>
        </w:tc>
        <w:tc>
          <w:tcPr>
            <w:tcW w:w="1121" w:type="dxa"/>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142,5</w:t>
            </w:r>
          </w:p>
        </w:tc>
        <w:tc>
          <w:tcPr>
            <w:tcW w:w="1121" w:type="dxa"/>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498,1</w:t>
            </w:r>
          </w:p>
        </w:tc>
        <w:tc>
          <w:tcPr>
            <w:tcW w:w="1366" w:type="dxa"/>
            <w:vAlign w:val="center"/>
          </w:tcPr>
          <w:p w:rsidR="00D73A21" w:rsidRPr="00121B96" w:rsidRDefault="00D73A21" w:rsidP="00B74ECD">
            <w:pPr>
              <w:pStyle w:val="Textoindependiente"/>
              <w:jc w:val="right"/>
              <w:rPr>
                <w:rFonts w:ascii="Times New Roman" w:hAnsi="Times New Roman" w:cs="Times New Roman"/>
                <w:szCs w:val="20"/>
              </w:rPr>
            </w:pPr>
            <w:r>
              <w:rPr>
                <w:rFonts w:ascii="Times New Roman" w:hAnsi="Times New Roman" w:cs="Times New Roman"/>
                <w:szCs w:val="20"/>
              </w:rPr>
              <w:t>20.972,63</w:t>
            </w:r>
          </w:p>
        </w:tc>
        <w:tc>
          <w:tcPr>
            <w:tcW w:w="1400" w:type="dxa"/>
            <w:vAlign w:val="center"/>
          </w:tcPr>
          <w:p w:rsidR="00D73A21" w:rsidRPr="00121B96" w:rsidRDefault="00D73A21" w:rsidP="00B74ECD">
            <w:pPr>
              <w:pStyle w:val="Textoindependiente"/>
              <w:jc w:val="right"/>
              <w:rPr>
                <w:rFonts w:ascii="Times New Roman" w:hAnsi="Times New Roman" w:cs="Times New Roman"/>
                <w:szCs w:val="20"/>
              </w:rPr>
            </w:pPr>
            <w:r>
              <w:rPr>
                <w:rFonts w:ascii="Times New Roman" w:hAnsi="Times New Roman" w:cs="Times New Roman"/>
                <w:szCs w:val="20"/>
              </w:rPr>
              <w:t>14.972,63</w:t>
            </w:r>
          </w:p>
        </w:tc>
      </w:tr>
      <w:tr w:rsidR="00D73A21" w:rsidRPr="00121B96" w:rsidTr="00577FC3">
        <w:trPr>
          <w:trHeight w:val="284"/>
          <w:jc w:val="center"/>
        </w:trPr>
        <w:tc>
          <w:tcPr>
            <w:tcW w:w="1488" w:type="dxa"/>
            <w:vAlign w:val="center"/>
          </w:tcPr>
          <w:p w:rsidR="00D73A21" w:rsidRPr="00121B96" w:rsidRDefault="00D73A21" w:rsidP="00B74ECD">
            <w:pPr>
              <w:pStyle w:val="Textoindependiente"/>
              <w:rPr>
                <w:rFonts w:ascii="Times New Roman" w:hAnsi="Times New Roman" w:cs="Times New Roman"/>
                <w:szCs w:val="20"/>
              </w:rPr>
            </w:pPr>
            <w:r w:rsidRPr="00121B96">
              <w:rPr>
                <w:rFonts w:ascii="Times New Roman" w:hAnsi="Times New Roman" w:cs="Times New Roman"/>
                <w:szCs w:val="20"/>
              </w:rPr>
              <w:t>Capital común</w:t>
            </w:r>
          </w:p>
        </w:tc>
        <w:tc>
          <w:tcPr>
            <w:tcW w:w="1120" w:type="dxa"/>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9/200</w:t>
            </w:r>
            <w:r>
              <w:rPr>
                <w:rFonts w:ascii="Times New Roman" w:hAnsi="Times New Roman" w:cs="Times New Roman"/>
                <w:szCs w:val="20"/>
              </w:rPr>
              <w:t>8</w:t>
            </w:r>
          </w:p>
        </w:tc>
        <w:tc>
          <w:tcPr>
            <w:tcW w:w="1442" w:type="dxa"/>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8.500,</w:t>
            </w:r>
            <w:r w:rsidRPr="00121B96">
              <w:rPr>
                <w:rFonts w:ascii="Times New Roman" w:hAnsi="Times New Roman" w:cs="Times New Roman"/>
                <w:szCs w:val="20"/>
              </w:rPr>
              <w:t>00</w:t>
            </w:r>
          </w:p>
        </w:tc>
        <w:tc>
          <w:tcPr>
            <w:tcW w:w="1121" w:type="dxa"/>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121,8</w:t>
            </w:r>
          </w:p>
        </w:tc>
        <w:tc>
          <w:tcPr>
            <w:tcW w:w="1121" w:type="dxa"/>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498.1</w:t>
            </w:r>
          </w:p>
        </w:tc>
        <w:tc>
          <w:tcPr>
            <w:tcW w:w="1366" w:type="dxa"/>
            <w:vAlign w:val="center"/>
          </w:tcPr>
          <w:p w:rsidR="00D73A21" w:rsidRPr="00121B96" w:rsidRDefault="00D73A21" w:rsidP="00B74ECD">
            <w:pPr>
              <w:pStyle w:val="Textoindependiente"/>
              <w:jc w:val="right"/>
              <w:rPr>
                <w:rFonts w:ascii="Times New Roman" w:hAnsi="Times New Roman" w:cs="Times New Roman"/>
                <w:szCs w:val="20"/>
              </w:rPr>
            </w:pPr>
            <w:r>
              <w:rPr>
                <w:rFonts w:ascii="Times New Roman" w:hAnsi="Times New Roman" w:cs="Times New Roman"/>
                <w:szCs w:val="20"/>
              </w:rPr>
              <w:t>34.706,67</w:t>
            </w:r>
          </w:p>
        </w:tc>
        <w:tc>
          <w:tcPr>
            <w:tcW w:w="1400" w:type="dxa"/>
            <w:tcBorders>
              <w:bottom w:val="single" w:sz="4" w:space="0" w:color="auto"/>
            </w:tcBorders>
            <w:vAlign w:val="center"/>
          </w:tcPr>
          <w:p w:rsidR="00D73A21" w:rsidRPr="00121B96" w:rsidRDefault="00D73A21" w:rsidP="00B74ECD">
            <w:pPr>
              <w:pStyle w:val="Textoindependiente"/>
              <w:jc w:val="right"/>
              <w:rPr>
                <w:rFonts w:ascii="Times New Roman" w:hAnsi="Times New Roman" w:cs="Times New Roman"/>
                <w:szCs w:val="20"/>
              </w:rPr>
            </w:pPr>
            <w:r>
              <w:rPr>
                <w:rFonts w:ascii="Times New Roman" w:hAnsi="Times New Roman" w:cs="Times New Roman"/>
                <w:szCs w:val="20"/>
              </w:rPr>
              <w:t>26.260,67</w:t>
            </w:r>
          </w:p>
        </w:tc>
      </w:tr>
      <w:tr w:rsidR="00377028" w:rsidRPr="00121B96" w:rsidTr="008C1F94">
        <w:trPr>
          <w:trHeight w:val="284"/>
          <w:jc w:val="center"/>
        </w:trPr>
        <w:tc>
          <w:tcPr>
            <w:tcW w:w="7658" w:type="dxa"/>
            <w:gridSpan w:val="6"/>
            <w:vAlign w:val="center"/>
          </w:tcPr>
          <w:p w:rsidR="00377028" w:rsidRPr="00121B96" w:rsidRDefault="00377028" w:rsidP="00377028">
            <w:pPr>
              <w:pStyle w:val="Textoindependiente"/>
              <w:jc w:val="left"/>
              <w:rPr>
                <w:rFonts w:ascii="Times New Roman" w:hAnsi="Times New Roman" w:cs="Times New Roman"/>
                <w:szCs w:val="20"/>
              </w:rPr>
            </w:pPr>
            <w:r w:rsidRPr="00121B96">
              <w:rPr>
                <w:rFonts w:ascii="Times New Roman" w:hAnsi="Times New Roman" w:cs="Times New Roman"/>
                <w:sz w:val="19"/>
                <w:szCs w:val="19"/>
              </w:rPr>
              <w:t xml:space="preserve">Resultado </w:t>
            </w:r>
            <w:r>
              <w:rPr>
                <w:rFonts w:ascii="Times New Roman" w:hAnsi="Times New Roman" w:cs="Times New Roman"/>
                <w:sz w:val="19"/>
                <w:szCs w:val="19"/>
              </w:rPr>
              <w:t xml:space="preserve">por exposición </w:t>
            </w:r>
            <w:r w:rsidRPr="00121B96">
              <w:rPr>
                <w:rFonts w:ascii="Times New Roman" w:hAnsi="Times New Roman" w:cs="Times New Roman"/>
                <w:sz w:val="19"/>
                <w:szCs w:val="19"/>
              </w:rPr>
              <w:t>acumulado por efecto de la inflación</w:t>
            </w:r>
            <w:r>
              <w:rPr>
                <w:rFonts w:ascii="Times New Roman" w:hAnsi="Times New Roman" w:cs="Times New Roman"/>
                <w:sz w:val="19"/>
                <w:szCs w:val="19"/>
              </w:rPr>
              <w:t xml:space="preserve"> (REI)</w:t>
            </w:r>
          </w:p>
        </w:tc>
        <w:tc>
          <w:tcPr>
            <w:tcW w:w="1400" w:type="dxa"/>
            <w:tcBorders>
              <w:top w:val="single" w:sz="4" w:space="0" w:color="auto"/>
            </w:tcBorders>
            <w:vAlign w:val="center"/>
          </w:tcPr>
          <w:p w:rsidR="00377028" w:rsidRPr="00121B96" w:rsidRDefault="00377028" w:rsidP="00B74ECD">
            <w:pPr>
              <w:pStyle w:val="Textoindependiente"/>
              <w:jc w:val="right"/>
              <w:rPr>
                <w:rFonts w:ascii="Times New Roman" w:hAnsi="Times New Roman" w:cs="Times New Roman"/>
                <w:szCs w:val="20"/>
              </w:rPr>
            </w:pPr>
            <w:r>
              <w:rPr>
                <w:rFonts w:ascii="Times New Roman" w:hAnsi="Times New Roman" w:cs="Times New Roman"/>
                <w:szCs w:val="20"/>
              </w:rPr>
              <w:t>(11.109,51)</w:t>
            </w:r>
          </w:p>
        </w:tc>
      </w:tr>
    </w:tbl>
    <w:p w:rsidR="00D73A21" w:rsidRDefault="00D73A21" w:rsidP="00D73A21">
      <w:pPr>
        <w:pStyle w:val="Textoindependiente"/>
        <w:spacing w:line="300" w:lineRule="exact"/>
        <w:rPr>
          <w:rFonts w:ascii="Times New Roman" w:hAnsi="Times New Roman" w:cs="Times New Roman"/>
          <w:sz w:val="22"/>
          <w:szCs w:val="22"/>
        </w:rPr>
      </w:pPr>
    </w:p>
    <w:p w:rsidR="00577FC3" w:rsidRDefault="00577FC3" w:rsidP="00377028">
      <w:pPr>
        <w:pStyle w:val="Textoindependiente"/>
        <w:spacing w:line="300" w:lineRule="exact"/>
        <w:jc w:val="center"/>
        <w:rPr>
          <w:rFonts w:ascii="Times New Roman" w:hAnsi="Times New Roman" w:cs="Times New Roman"/>
          <w:sz w:val="22"/>
          <w:szCs w:val="22"/>
        </w:rPr>
      </w:pPr>
    </w:p>
    <w:p w:rsidR="00D73A21" w:rsidRDefault="00D73A21" w:rsidP="00D73A21">
      <w:pPr>
        <w:pStyle w:val="Textoindependiente"/>
        <w:spacing w:line="300" w:lineRule="exact"/>
        <w:rPr>
          <w:rFonts w:ascii="Times New Roman" w:hAnsi="Times New Roman" w:cs="Times New Roman"/>
          <w:sz w:val="22"/>
          <w:szCs w:val="22"/>
        </w:rPr>
      </w:pPr>
      <w:r w:rsidRPr="005B7362">
        <w:rPr>
          <w:rFonts w:ascii="Times New Roman" w:hAnsi="Times New Roman" w:cs="Times New Roman"/>
          <w:sz w:val="22"/>
          <w:szCs w:val="22"/>
        </w:rPr>
        <w:t>Modelo de la cédula sumaria para el proceso de ajuste por inflación (fase II)</w:t>
      </w:r>
    </w:p>
    <w:p w:rsidR="00BE29E0" w:rsidRPr="005B7362" w:rsidRDefault="00BE29E0" w:rsidP="00D73A21">
      <w:pPr>
        <w:pStyle w:val="Textoindependiente"/>
        <w:spacing w:line="300" w:lineRule="exact"/>
        <w:rPr>
          <w:rFonts w:ascii="Times New Roman" w:hAnsi="Times New Roman" w:cs="Times New Roman"/>
          <w:sz w:val="22"/>
          <w:szCs w:val="22"/>
        </w:rPr>
      </w:pPr>
    </w:p>
    <w:p w:rsidR="00D73A21" w:rsidRPr="00B4363A" w:rsidRDefault="00D73A21" w:rsidP="00D73A21">
      <w:pPr>
        <w:pStyle w:val="Textoindependiente"/>
        <w:spacing w:line="300" w:lineRule="exact"/>
        <w:rPr>
          <w:rFonts w:ascii="Times New Roman" w:hAnsi="Times New Roman" w:cs="Times New Roman"/>
          <w:sz w:val="16"/>
          <w:szCs w:val="16"/>
        </w:rPr>
      </w:pPr>
    </w:p>
    <w:tbl>
      <w:tblPr>
        <w:tblW w:w="0" w:type="auto"/>
        <w:jc w:val="center"/>
        <w:tblLook w:val="01E0"/>
      </w:tblPr>
      <w:tblGrid>
        <w:gridCol w:w="1488"/>
        <w:gridCol w:w="1120"/>
        <w:gridCol w:w="1442"/>
        <w:gridCol w:w="1121"/>
        <w:gridCol w:w="1121"/>
        <w:gridCol w:w="1286"/>
      </w:tblGrid>
      <w:tr w:rsidR="00D73A21" w:rsidRPr="00121B96" w:rsidTr="00577FC3">
        <w:trPr>
          <w:jc w:val="center"/>
        </w:trPr>
        <w:tc>
          <w:tcPr>
            <w:tcW w:w="1488" w:type="dxa"/>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p>
        </w:tc>
        <w:tc>
          <w:tcPr>
            <w:tcW w:w="1120" w:type="dxa"/>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p>
        </w:tc>
        <w:tc>
          <w:tcPr>
            <w:tcW w:w="1442" w:type="dxa"/>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p>
        </w:tc>
        <w:tc>
          <w:tcPr>
            <w:tcW w:w="2242" w:type="dxa"/>
            <w:gridSpan w:val="2"/>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Coeficiente Corrector</w:t>
            </w:r>
          </w:p>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por inflación</w:t>
            </w:r>
          </w:p>
        </w:tc>
        <w:tc>
          <w:tcPr>
            <w:tcW w:w="1286" w:type="dxa"/>
            <w:tcBorders>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p>
        </w:tc>
      </w:tr>
      <w:tr w:rsidR="00D73A21" w:rsidRPr="00121B96" w:rsidTr="00577FC3">
        <w:trPr>
          <w:jc w:val="center"/>
        </w:trPr>
        <w:tc>
          <w:tcPr>
            <w:tcW w:w="1488"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Partida</w:t>
            </w:r>
          </w:p>
        </w:tc>
        <w:tc>
          <w:tcPr>
            <w:tcW w:w="1120"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Fecha de Origen</w:t>
            </w:r>
          </w:p>
        </w:tc>
        <w:tc>
          <w:tcPr>
            <w:tcW w:w="1442"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Costo Histórico</w:t>
            </w:r>
          </w:p>
        </w:tc>
        <w:tc>
          <w:tcPr>
            <w:tcW w:w="1121"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INPC Origen</w:t>
            </w:r>
          </w:p>
        </w:tc>
        <w:tc>
          <w:tcPr>
            <w:tcW w:w="1121"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INPC actual</w:t>
            </w:r>
          </w:p>
        </w:tc>
        <w:tc>
          <w:tcPr>
            <w:tcW w:w="1286" w:type="dxa"/>
            <w:tcBorders>
              <w:top w:val="single" w:sz="4" w:space="0" w:color="auto"/>
              <w:bottom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sidRPr="00121B96">
              <w:rPr>
                <w:rFonts w:ascii="Times New Roman" w:hAnsi="Times New Roman" w:cs="Times New Roman"/>
                <w:szCs w:val="20"/>
              </w:rPr>
              <w:t>Valor Ajustado</w:t>
            </w:r>
          </w:p>
        </w:tc>
      </w:tr>
      <w:tr w:rsidR="00D73A21" w:rsidRPr="00121B96" w:rsidTr="00577FC3">
        <w:trPr>
          <w:trHeight w:val="284"/>
          <w:jc w:val="center"/>
        </w:trPr>
        <w:tc>
          <w:tcPr>
            <w:tcW w:w="1488" w:type="dxa"/>
            <w:tcBorders>
              <w:top w:val="single" w:sz="4" w:space="0" w:color="auto"/>
            </w:tcBorders>
            <w:vAlign w:val="center"/>
          </w:tcPr>
          <w:p w:rsidR="00D73A21" w:rsidRPr="00121B96" w:rsidRDefault="00D73A21" w:rsidP="00B74ECD">
            <w:pPr>
              <w:pStyle w:val="Textoindependiente"/>
              <w:rPr>
                <w:rFonts w:ascii="Times New Roman" w:hAnsi="Times New Roman" w:cs="Times New Roman"/>
                <w:szCs w:val="20"/>
              </w:rPr>
            </w:pPr>
            <w:r w:rsidRPr="00121B96">
              <w:rPr>
                <w:rFonts w:ascii="Times New Roman" w:hAnsi="Times New Roman" w:cs="Times New Roman"/>
                <w:szCs w:val="20"/>
              </w:rPr>
              <w:t>Inventario</w:t>
            </w:r>
          </w:p>
        </w:tc>
        <w:tc>
          <w:tcPr>
            <w:tcW w:w="1120" w:type="dxa"/>
            <w:tcBorders>
              <w:top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10</w:t>
            </w:r>
            <w:r w:rsidRPr="00121B96">
              <w:rPr>
                <w:rFonts w:ascii="Times New Roman" w:hAnsi="Times New Roman" w:cs="Times New Roman"/>
                <w:szCs w:val="20"/>
              </w:rPr>
              <w:t>/20</w:t>
            </w:r>
            <w:r>
              <w:rPr>
                <w:rFonts w:ascii="Times New Roman" w:hAnsi="Times New Roman" w:cs="Times New Roman"/>
                <w:szCs w:val="20"/>
              </w:rPr>
              <w:t>14</w:t>
            </w:r>
          </w:p>
        </w:tc>
        <w:tc>
          <w:tcPr>
            <w:tcW w:w="1442" w:type="dxa"/>
            <w:tcBorders>
              <w:top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2.500,</w:t>
            </w:r>
            <w:r w:rsidRPr="00121B96">
              <w:rPr>
                <w:rFonts w:ascii="Times New Roman" w:hAnsi="Times New Roman" w:cs="Times New Roman"/>
                <w:szCs w:val="20"/>
              </w:rPr>
              <w:t>00</w:t>
            </w:r>
          </w:p>
        </w:tc>
        <w:tc>
          <w:tcPr>
            <w:tcW w:w="1121" w:type="dxa"/>
            <w:tcBorders>
              <w:top w:val="single" w:sz="4" w:space="0" w:color="auto"/>
            </w:tcBorders>
            <w:vAlign w:val="center"/>
          </w:tcPr>
          <w:p w:rsidR="00D73A21" w:rsidRPr="00121B96" w:rsidRDefault="00D73A21" w:rsidP="00B74ECD">
            <w:pPr>
              <w:pStyle w:val="Textoindependiente"/>
              <w:jc w:val="center"/>
              <w:rPr>
                <w:rFonts w:ascii="Times New Roman" w:hAnsi="Times New Roman" w:cs="Times New Roman"/>
                <w:szCs w:val="20"/>
              </w:rPr>
            </w:pPr>
            <w:r>
              <w:rPr>
                <w:rFonts w:ascii="Times New Roman" w:hAnsi="Times New Roman" w:cs="Times New Roman"/>
                <w:szCs w:val="20"/>
              </w:rPr>
              <w:t>761,8</w:t>
            </w:r>
          </w:p>
        </w:tc>
        <w:tc>
          <w:tcPr>
            <w:tcW w:w="1121" w:type="dxa"/>
            <w:tcBorders>
              <w:top w:val="single" w:sz="4" w:space="0" w:color="auto"/>
            </w:tcBorders>
            <w:vAlign w:val="center"/>
          </w:tcPr>
          <w:p w:rsidR="00D73A21" w:rsidRPr="00121B96" w:rsidRDefault="00377028" w:rsidP="00B74ECD">
            <w:pPr>
              <w:pStyle w:val="Textoindependiente"/>
              <w:jc w:val="center"/>
              <w:rPr>
                <w:rFonts w:ascii="Times New Roman" w:hAnsi="Times New Roman" w:cs="Times New Roman"/>
                <w:szCs w:val="20"/>
              </w:rPr>
            </w:pPr>
            <w:r>
              <w:rPr>
                <w:rFonts w:ascii="Times New Roman" w:hAnsi="Times New Roman" w:cs="Times New Roman"/>
                <w:szCs w:val="20"/>
              </w:rPr>
              <w:t>839,7</w:t>
            </w:r>
          </w:p>
        </w:tc>
        <w:tc>
          <w:tcPr>
            <w:tcW w:w="1286" w:type="dxa"/>
            <w:tcBorders>
              <w:top w:val="single" w:sz="4" w:space="0" w:color="auto"/>
            </w:tcBorders>
            <w:vAlign w:val="center"/>
          </w:tcPr>
          <w:p w:rsidR="00D73A21" w:rsidRPr="00121B96" w:rsidRDefault="00D73A21" w:rsidP="00B74ECD">
            <w:pPr>
              <w:pStyle w:val="Textoindependiente"/>
              <w:jc w:val="right"/>
              <w:rPr>
                <w:rFonts w:ascii="Times New Roman" w:hAnsi="Times New Roman" w:cs="Times New Roman"/>
                <w:szCs w:val="20"/>
              </w:rPr>
            </w:pPr>
            <w:r>
              <w:rPr>
                <w:rFonts w:ascii="Times New Roman" w:hAnsi="Times New Roman" w:cs="Times New Roman"/>
                <w:szCs w:val="20"/>
              </w:rPr>
              <w:t>2.</w:t>
            </w:r>
            <w:r w:rsidR="00377028">
              <w:rPr>
                <w:rFonts w:ascii="Times New Roman" w:hAnsi="Times New Roman" w:cs="Times New Roman"/>
                <w:szCs w:val="20"/>
              </w:rPr>
              <w:t>7556,44</w:t>
            </w:r>
          </w:p>
        </w:tc>
      </w:tr>
      <w:tr w:rsidR="00377028" w:rsidRPr="00121B96" w:rsidTr="008C1F94">
        <w:trPr>
          <w:trHeight w:val="284"/>
          <w:jc w:val="center"/>
        </w:trPr>
        <w:tc>
          <w:tcPr>
            <w:tcW w:w="1488" w:type="dxa"/>
            <w:vAlign w:val="center"/>
          </w:tcPr>
          <w:p w:rsidR="00377028" w:rsidRPr="00121B96" w:rsidRDefault="00377028" w:rsidP="00B74ECD">
            <w:pPr>
              <w:pStyle w:val="Textoindependiente"/>
              <w:rPr>
                <w:rFonts w:ascii="Times New Roman" w:hAnsi="Times New Roman" w:cs="Times New Roman"/>
                <w:szCs w:val="20"/>
              </w:rPr>
            </w:pPr>
            <w:r w:rsidRPr="00121B96">
              <w:rPr>
                <w:rFonts w:ascii="Times New Roman" w:hAnsi="Times New Roman" w:cs="Times New Roman"/>
                <w:szCs w:val="20"/>
              </w:rPr>
              <w:t>Terreno</w:t>
            </w:r>
          </w:p>
        </w:tc>
        <w:tc>
          <w:tcPr>
            <w:tcW w:w="1120" w:type="dxa"/>
            <w:vAlign w:val="center"/>
          </w:tcPr>
          <w:p w:rsidR="00377028" w:rsidRPr="00121B96" w:rsidRDefault="00377028" w:rsidP="00B74ECD">
            <w:pPr>
              <w:pStyle w:val="Textoindependiente"/>
              <w:jc w:val="center"/>
              <w:rPr>
                <w:rFonts w:ascii="Times New Roman" w:hAnsi="Times New Roman" w:cs="Times New Roman"/>
                <w:szCs w:val="20"/>
              </w:rPr>
            </w:pPr>
            <w:r>
              <w:rPr>
                <w:rFonts w:ascii="Times New Roman" w:hAnsi="Times New Roman" w:cs="Times New Roman"/>
                <w:szCs w:val="20"/>
              </w:rPr>
              <w:t>5/2009</w:t>
            </w:r>
          </w:p>
        </w:tc>
        <w:tc>
          <w:tcPr>
            <w:tcW w:w="1442" w:type="dxa"/>
            <w:vAlign w:val="center"/>
          </w:tcPr>
          <w:p w:rsidR="00377028" w:rsidRPr="00121B96" w:rsidRDefault="00377028" w:rsidP="00B74ECD">
            <w:pPr>
              <w:pStyle w:val="Textoindependiente"/>
              <w:jc w:val="center"/>
              <w:rPr>
                <w:rFonts w:ascii="Times New Roman" w:hAnsi="Times New Roman" w:cs="Times New Roman"/>
                <w:szCs w:val="20"/>
              </w:rPr>
            </w:pPr>
            <w:r>
              <w:rPr>
                <w:rFonts w:ascii="Times New Roman" w:hAnsi="Times New Roman" w:cs="Times New Roman"/>
                <w:szCs w:val="20"/>
              </w:rPr>
              <w:t>6.000,</w:t>
            </w:r>
            <w:r w:rsidRPr="00121B96">
              <w:rPr>
                <w:rFonts w:ascii="Times New Roman" w:hAnsi="Times New Roman" w:cs="Times New Roman"/>
                <w:szCs w:val="20"/>
              </w:rPr>
              <w:t>00</w:t>
            </w:r>
          </w:p>
        </w:tc>
        <w:tc>
          <w:tcPr>
            <w:tcW w:w="1121" w:type="dxa"/>
            <w:vAlign w:val="center"/>
          </w:tcPr>
          <w:p w:rsidR="00377028" w:rsidRPr="00121B96" w:rsidRDefault="00377028" w:rsidP="00B74ECD">
            <w:pPr>
              <w:pStyle w:val="Textoindependiente"/>
              <w:jc w:val="center"/>
              <w:rPr>
                <w:rFonts w:ascii="Times New Roman" w:hAnsi="Times New Roman" w:cs="Times New Roman"/>
                <w:szCs w:val="20"/>
              </w:rPr>
            </w:pPr>
            <w:r>
              <w:rPr>
                <w:rFonts w:ascii="Times New Roman" w:hAnsi="Times New Roman" w:cs="Times New Roman"/>
                <w:szCs w:val="20"/>
              </w:rPr>
              <w:t>142,5</w:t>
            </w:r>
          </w:p>
        </w:tc>
        <w:tc>
          <w:tcPr>
            <w:tcW w:w="1121" w:type="dxa"/>
          </w:tcPr>
          <w:p w:rsidR="00377028" w:rsidRPr="004E1BAB" w:rsidRDefault="00377028" w:rsidP="00377028">
            <w:pPr>
              <w:jc w:val="center"/>
              <w:rPr>
                <w:szCs w:val="20"/>
              </w:rPr>
            </w:pPr>
            <w:r w:rsidRPr="004E1BAB">
              <w:rPr>
                <w:rFonts w:ascii="Times New Roman" w:hAnsi="Times New Roman" w:cs="Times New Roman"/>
                <w:szCs w:val="20"/>
              </w:rPr>
              <w:t>839</w:t>
            </w:r>
            <w:r>
              <w:rPr>
                <w:rFonts w:ascii="Times New Roman" w:hAnsi="Times New Roman" w:cs="Times New Roman"/>
                <w:szCs w:val="20"/>
              </w:rPr>
              <w:t>,7</w:t>
            </w:r>
          </w:p>
        </w:tc>
        <w:tc>
          <w:tcPr>
            <w:tcW w:w="1286" w:type="dxa"/>
            <w:vAlign w:val="center"/>
          </w:tcPr>
          <w:p w:rsidR="00377028" w:rsidRPr="00121B96" w:rsidRDefault="00377028" w:rsidP="00B74ECD">
            <w:pPr>
              <w:pStyle w:val="Textoindependiente"/>
              <w:jc w:val="right"/>
              <w:rPr>
                <w:rFonts w:ascii="Times New Roman" w:hAnsi="Times New Roman" w:cs="Times New Roman"/>
                <w:szCs w:val="20"/>
              </w:rPr>
            </w:pPr>
            <w:r>
              <w:rPr>
                <w:rFonts w:ascii="Times New Roman" w:hAnsi="Times New Roman" w:cs="Times New Roman"/>
                <w:szCs w:val="20"/>
              </w:rPr>
              <w:t>35.355,79</w:t>
            </w:r>
          </w:p>
        </w:tc>
      </w:tr>
      <w:tr w:rsidR="00377028" w:rsidRPr="00121B96" w:rsidTr="008C1F94">
        <w:trPr>
          <w:trHeight w:val="284"/>
          <w:jc w:val="center"/>
        </w:trPr>
        <w:tc>
          <w:tcPr>
            <w:tcW w:w="1488" w:type="dxa"/>
            <w:vAlign w:val="center"/>
          </w:tcPr>
          <w:p w:rsidR="00377028" w:rsidRPr="00121B96" w:rsidRDefault="00377028" w:rsidP="00B74ECD">
            <w:pPr>
              <w:pStyle w:val="Textoindependiente"/>
              <w:rPr>
                <w:rFonts w:ascii="Times New Roman" w:hAnsi="Times New Roman" w:cs="Times New Roman"/>
                <w:szCs w:val="20"/>
              </w:rPr>
            </w:pPr>
            <w:r w:rsidRPr="00121B96">
              <w:rPr>
                <w:rFonts w:ascii="Times New Roman" w:hAnsi="Times New Roman" w:cs="Times New Roman"/>
                <w:szCs w:val="20"/>
              </w:rPr>
              <w:t>Capital común</w:t>
            </w:r>
          </w:p>
        </w:tc>
        <w:tc>
          <w:tcPr>
            <w:tcW w:w="1120" w:type="dxa"/>
            <w:vAlign w:val="center"/>
          </w:tcPr>
          <w:p w:rsidR="00377028" w:rsidRPr="00121B96" w:rsidRDefault="00377028" w:rsidP="00B74ECD">
            <w:pPr>
              <w:pStyle w:val="Textoindependiente"/>
              <w:jc w:val="center"/>
              <w:rPr>
                <w:rFonts w:ascii="Times New Roman" w:hAnsi="Times New Roman" w:cs="Times New Roman"/>
                <w:szCs w:val="20"/>
              </w:rPr>
            </w:pPr>
            <w:r>
              <w:rPr>
                <w:rFonts w:ascii="Times New Roman" w:hAnsi="Times New Roman" w:cs="Times New Roman"/>
                <w:szCs w:val="20"/>
              </w:rPr>
              <w:t>9/2008</w:t>
            </w:r>
          </w:p>
        </w:tc>
        <w:tc>
          <w:tcPr>
            <w:tcW w:w="1442" w:type="dxa"/>
            <w:vAlign w:val="center"/>
          </w:tcPr>
          <w:p w:rsidR="00377028" w:rsidRPr="00121B96" w:rsidRDefault="00377028" w:rsidP="00B74ECD">
            <w:pPr>
              <w:pStyle w:val="Textoindependiente"/>
              <w:jc w:val="center"/>
              <w:rPr>
                <w:rFonts w:ascii="Times New Roman" w:hAnsi="Times New Roman" w:cs="Times New Roman"/>
                <w:szCs w:val="20"/>
              </w:rPr>
            </w:pPr>
            <w:r>
              <w:rPr>
                <w:rFonts w:ascii="Times New Roman" w:hAnsi="Times New Roman" w:cs="Times New Roman"/>
                <w:szCs w:val="20"/>
              </w:rPr>
              <w:t>8.500,</w:t>
            </w:r>
            <w:r w:rsidRPr="00121B96">
              <w:rPr>
                <w:rFonts w:ascii="Times New Roman" w:hAnsi="Times New Roman" w:cs="Times New Roman"/>
                <w:szCs w:val="20"/>
              </w:rPr>
              <w:t>00</w:t>
            </w:r>
          </w:p>
        </w:tc>
        <w:tc>
          <w:tcPr>
            <w:tcW w:w="1121" w:type="dxa"/>
            <w:vAlign w:val="center"/>
          </w:tcPr>
          <w:p w:rsidR="00377028" w:rsidRPr="00121B96" w:rsidRDefault="00377028" w:rsidP="00B74ECD">
            <w:pPr>
              <w:pStyle w:val="Textoindependiente"/>
              <w:jc w:val="center"/>
              <w:rPr>
                <w:rFonts w:ascii="Times New Roman" w:hAnsi="Times New Roman" w:cs="Times New Roman"/>
                <w:szCs w:val="20"/>
              </w:rPr>
            </w:pPr>
            <w:r>
              <w:rPr>
                <w:rFonts w:ascii="Times New Roman" w:hAnsi="Times New Roman" w:cs="Times New Roman"/>
                <w:szCs w:val="20"/>
              </w:rPr>
              <w:t>121,8</w:t>
            </w:r>
          </w:p>
        </w:tc>
        <w:tc>
          <w:tcPr>
            <w:tcW w:w="1121" w:type="dxa"/>
          </w:tcPr>
          <w:p w:rsidR="00377028" w:rsidRPr="004E1BAB" w:rsidRDefault="00377028" w:rsidP="00377028">
            <w:pPr>
              <w:jc w:val="center"/>
              <w:rPr>
                <w:szCs w:val="20"/>
              </w:rPr>
            </w:pPr>
            <w:r w:rsidRPr="004E1BAB">
              <w:rPr>
                <w:rFonts w:ascii="Times New Roman" w:hAnsi="Times New Roman" w:cs="Times New Roman"/>
                <w:szCs w:val="20"/>
              </w:rPr>
              <w:t>839</w:t>
            </w:r>
            <w:r>
              <w:rPr>
                <w:rFonts w:ascii="Times New Roman" w:hAnsi="Times New Roman" w:cs="Times New Roman"/>
                <w:szCs w:val="20"/>
              </w:rPr>
              <w:t>,7</w:t>
            </w:r>
          </w:p>
        </w:tc>
        <w:tc>
          <w:tcPr>
            <w:tcW w:w="1286" w:type="dxa"/>
            <w:vAlign w:val="center"/>
          </w:tcPr>
          <w:p w:rsidR="00377028" w:rsidRPr="00121B96" w:rsidRDefault="00377028" w:rsidP="00B74ECD">
            <w:pPr>
              <w:pStyle w:val="Textoindependiente"/>
              <w:jc w:val="right"/>
              <w:rPr>
                <w:rFonts w:ascii="Times New Roman" w:hAnsi="Times New Roman" w:cs="Times New Roman"/>
                <w:szCs w:val="20"/>
              </w:rPr>
            </w:pPr>
            <w:r>
              <w:rPr>
                <w:rFonts w:ascii="Times New Roman" w:hAnsi="Times New Roman" w:cs="Times New Roman"/>
                <w:szCs w:val="20"/>
              </w:rPr>
              <w:t>58.599,75</w:t>
            </w:r>
          </w:p>
        </w:tc>
      </w:tr>
    </w:tbl>
    <w:p w:rsidR="00D73A21" w:rsidRDefault="00D73A21" w:rsidP="00D73A21">
      <w:pPr>
        <w:pStyle w:val="Textoindependiente"/>
        <w:spacing w:line="300" w:lineRule="exact"/>
        <w:rPr>
          <w:rFonts w:ascii="Times New Roman" w:hAnsi="Times New Roman" w:cs="Times New Roman"/>
          <w:sz w:val="16"/>
          <w:szCs w:val="16"/>
        </w:rPr>
      </w:pPr>
    </w:p>
    <w:p w:rsidR="00D73A21" w:rsidRDefault="00D73A21" w:rsidP="002C6F5D">
      <w:pPr>
        <w:spacing w:line="300" w:lineRule="exact"/>
        <w:jc w:val="both"/>
        <w:rPr>
          <w:rFonts w:ascii="Times New Roman" w:hAnsi="Times New Roman" w:cs="Times New Roman"/>
          <w:i/>
          <w:spacing w:val="6"/>
          <w:sz w:val="22"/>
          <w:szCs w:val="22"/>
        </w:rPr>
      </w:pPr>
    </w:p>
    <w:p w:rsidR="001B26D0" w:rsidRPr="007B031B" w:rsidRDefault="007B031B" w:rsidP="00940117">
      <w:pPr>
        <w:spacing w:line="300" w:lineRule="exact"/>
        <w:jc w:val="both"/>
        <w:rPr>
          <w:rFonts w:ascii="Times New Roman" w:hAnsi="Times New Roman" w:cs="Times New Roman"/>
          <w:i/>
          <w:spacing w:val="6"/>
          <w:sz w:val="22"/>
          <w:szCs w:val="22"/>
        </w:rPr>
      </w:pPr>
      <w:r w:rsidRPr="007B031B">
        <w:rPr>
          <w:rFonts w:ascii="Times New Roman" w:hAnsi="Times New Roman" w:cs="Times New Roman"/>
          <w:i/>
          <w:spacing w:val="6"/>
          <w:sz w:val="22"/>
          <w:szCs w:val="22"/>
        </w:rPr>
        <w:t xml:space="preserve">Segregación </w:t>
      </w:r>
      <w:r>
        <w:rPr>
          <w:rFonts w:ascii="Times New Roman" w:hAnsi="Times New Roman" w:cs="Times New Roman"/>
          <w:i/>
          <w:spacing w:val="6"/>
          <w:sz w:val="22"/>
          <w:szCs w:val="22"/>
        </w:rPr>
        <w:t xml:space="preserve">y agregación </w:t>
      </w:r>
      <w:r w:rsidRPr="007B031B">
        <w:rPr>
          <w:rFonts w:ascii="Times New Roman" w:hAnsi="Times New Roman" w:cs="Times New Roman"/>
          <w:i/>
          <w:spacing w:val="6"/>
          <w:sz w:val="22"/>
          <w:szCs w:val="22"/>
        </w:rPr>
        <w:t>de los Componentes Financieros</w:t>
      </w:r>
    </w:p>
    <w:p w:rsidR="007B031B" w:rsidRDefault="007B031B" w:rsidP="00940117">
      <w:pPr>
        <w:spacing w:line="300" w:lineRule="exact"/>
        <w:jc w:val="both"/>
        <w:rPr>
          <w:rFonts w:ascii="Times New Roman" w:hAnsi="Times New Roman" w:cs="Times New Roman"/>
          <w:spacing w:val="6"/>
          <w:sz w:val="22"/>
          <w:szCs w:val="22"/>
        </w:rPr>
      </w:pPr>
    </w:p>
    <w:p w:rsidR="007B031B" w:rsidRDefault="007B031B" w:rsidP="007B031B">
      <w:pPr>
        <w:spacing w:before="120" w:line="320" w:lineRule="exact"/>
        <w:ind w:firstLine="510"/>
        <w:jc w:val="both"/>
        <w:rPr>
          <w:rFonts w:ascii="Times New Roman" w:hAnsi="Times New Roman" w:cs="Times New Roman"/>
          <w:spacing w:val="6"/>
          <w:sz w:val="22"/>
          <w:szCs w:val="22"/>
        </w:rPr>
      </w:pPr>
      <w:r>
        <w:rPr>
          <w:rFonts w:ascii="Times New Roman" w:hAnsi="Times New Roman" w:cs="Times New Roman"/>
          <w:spacing w:val="6"/>
          <w:sz w:val="22"/>
          <w:szCs w:val="22"/>
        </w:rPr>
        <w:t>Deben segregarse los componentes financieros implícitos contenidos en los saldos de activos, pasivos y patrimonio, siempre que los mismos sean significativos y que su estimación pueda hacerse razonablemente. Asimismo,  la segregación de los componentes del estado de resultados podrá efectuarse cumpliendo los requisitos enunciados.</w:t>
      </w:r>
    </w:p>
    <w:p w:rsidR="007B031B" w:rsidRDefault="00D013DF" w:rsidP="007B031B">
      <w:pPr>
        <w:spacing w:before="120" w:line="320" w:lineRule="exact"/>
        <w:ind w:firstLine="510"/>
        <w:jc w:val="both"/>
        <w:rPr>
          <w:rFonts w:ascii="Times New Roman" w:hAnsi="Times New Roman" w:cs="Times New Roman"/>
          <w:spacing w:val="6"/>
          <w:sz w:val="22"/>
          <w:szCs w:val="22"/>
        </w:rPr>
      </w:pPr>
      <w:r>
        <w:rPr>
          <w:rFonts w:ascii="Times New Roman" w:hAnsi="Times New Roman" w:cs="Times New Roman"/>
          <w:spacing w:val="6"/>
          <w:sz w:val="22"/>
          <w:szCs w:val="22"/>
        </w:rPr>
        <w:t>La segregación de las cuentas consiste en su descomposición en partidas o grupos de partidas, según los distintos momentos o periodos de origen o capas de estas, a efectos de proceder a su reexpresión. La agregación conlleva a reagrupar las partidas mencionadas y presentarlas conforme a los estados financieros.</w:t>
      </w:r>
    </w:p>
    <w:p w:rsidR="007B031B" w:rsidRDefault="007B031B" w:rsidP="00940117">
      <w:pPr>
        <w:spacing w:line="300" w:lineRule="exact"/>
        <w:jc w:val="both"/>
        <w:rPr>
          <w:rFonts w:ascii="Times New Roman" w:hAnsi="Times New Roman" w:cs="Times New Roman"/>
          <w:spacing w:val="6"/>
          <w:sz w:val="22"/>
          <w:szCs w:val="22"/>
        </w:rPr>
      </w:pPr>
    </w:p>
    <w:p w:rsidR="007B031B" w:rsidRPr="007B031B" w:rsidRDefault="007B031B" w:rsidP="00940117">
      <w:pPr>
        <w:spacing w:line="300" w:lineRule="exact"/>
        <w:jc w:val="both"/>
        <w:rPr>
          <w:rFonts w:ascii="Times New Roman" w:hAnsi="Times New Roman" w:cs="Times New Roman"/>
          <w:spacing w:val="6"/>
          <w:sz w:val="22"/>
          <w:szCs w:val="22"/>
        </w:rPr>
      </w:pPr>
    </w:p>
    <w:p w:rsidR="001B26D0" w:rsidRPr="008F6C73" w:rsidRDefault="000544E7" w:rsidP="00940117">
      <w:pPr>
        <w:spacing w:line="300" w:lineRule="exact"/>
        <w:jc w:val="both"/>
        <w:rPr>
          <w:rFonts w:ascii="Times New Roman" w:hAnsi="Times New Roman" w:cs="Times New Roman"/>
          <w:b/>
          <w:i/>
          <w:spacing w:val="6"/>
          <w:sz w:val="22"/>
          <w:szCs w:val="22"/>
        </w:rPr>
      </w:pPr>
      <w:r w:rsidRPr="008F6C73">
        <w:rPr>
          <w:rFonts w:ascii="Times New Roman" w:hAnsi="Times New Roman" w:cs="Times New Roman"/>
          <w:b/>
          <w:i/>
          <w:spacing w:val="6"/>
          <w:sz w:val="22"/>
          <w:szCs w:val="22"/>
        </w:rPr>
        <w:t>Método de Valores Corrientes</w:t>
      </w:r>
    </w:p>
    <w:p w:rsidR="004D5E96" w:rsidRDefault="004D5E96" w:rsidP="00940117">
      <w:pPr>
        <w:spacing w:line="300" w:lineRule="exact"/>
        <w:jc w:val="both"/>
        <w:rPr>
          <w:rFonts w:ascii="Times New Roman" w:hAnsi="Times New Roman" w:cs="Times New Roman"/>
          <w:i/>
          <w:spacing w:val="6"/>
          <w:sz w:val="22"/>
          <w:szCs w:val="22"/>
        </w:rPr>
      </w:pPr>
    </w:p>
    <w:p w:rsidR="000544E7" w:rsidRDefault="000544E7" w:rsidP="00377028">
      <w:pPr>
        <w:spacing w:before="120" w:line="320" w:lineRule="exact"/>
        <w:ind w:firstLine="510"/>
        <w:jc w:val="both"/>
        <w:rPr>
          <w:rFonts w:ascii="TimesNewRoman" w:hAnsi="TimesNewRoman" w:cs="TimesNewRoman"/>
          <w:sz w:val="22"/>
          <w:szCs w:val="22"/>
          <w:lang w:val="es-ES" w:eastAsia="es-ES"/>
        </w:rPr>
      </w:pPr>
      <w:r>
        <w:rPr>
          <w:rFonts w:ascii="TimesNewRoman" w:hAnsi="TimesNewRoman" w:cs="TimesNewRoman"/>
          <w:sz w:val="22"/>
          <w:szCs w:val="22"/>
          <w:lang w:val="es-ES" w:eastAsia="es-ES"/>
        </w:rPr>
        <w:t>El Costo Corriente o Valor corriente es el importe del efectivo y otras partidas equivalentes de efectivo, que deberán pagarse si se adquiriese en un momento determinado el mismo activo u otro equivalente.</w:t>
      </w:r>
    </w:p>
    <w:p w:rsidR="004D5E96" w:rsidRDefault="004D5E96" w:rsidP="00377028">
      <w:pPr>
        <w:spacing w:before="120" w:line="320" w:lineRule="exact"/>
        <w:ind w:firstLine="510"/>
        <w:jc w:val="both"/>
        <w:rPr>
          <w:rFonts w:ascii="TimesNewRoman" w:hAnsi="TimesNewRoman" w:cs="TimesNewRoman"/>
          <w:sz w:val="22"/>
          <w:szCs w:val="22"/>
          <w:lang w:val="es-ES" w:eastAsia="es-ES"/>
        </w:rPr>
      </w:pPr>
      <w:r>
        <w:rPr>
          <w:rFonts w:ascii="TimesNewRoman" w:hAnsi="TimesNewRoman" w:cs="TimesNewRoman"/>
          <w:sz w:val="22"/>
          <w:szCs w:val="22"/>
          <w:lang w:val="es-ES" w:eastAsia="es-ES"/>
        </w:rPr>
        <w:t>El parágrafo 7 de la NIC 29 expresa que, e</w:t>
      </w:r>
      <w:r w:rsidRPr="004D5E96">
        <w:rPr>
          <w:rFonts w:ascii="TimesNewRoman" w:hAnsi="TimesNewRoman" w:cs="TimesNewRoman"/>
          <w:sz w:val="22"/>
          <w:szCs w:val="22"/>
          <w:lang w:val="es-ES" w:eastAsia="es-ES"/>
        </w:rPr>
        <w:t>n la mayoría de los países, los estados financieros se preparan a partir del costo</w:t>
      </w:r>
      <w:r>
        <w:rPr>
          <w:rFonts w:ascii="TimesNewRoman" w:hAnsi="TimesNewRoman" w:cs="TimesNewRoman"/>
          <w:sz w:val="22"/>
          <w:szCs w:val="22"/>
          <w:lang w:val="es-ES" w:eastAsia="es-ES"/>
        </w:rPr>
        <w:t xml:space="preserve"> </w:t>
      </w:r>
      <w:r w:rsidRPr="004D5E96">
        <w:rPr>
          <w:rFonts w:ascii="TimesNewRoman" w:hAnsi="TimesNewRoman" w:cs="TimesNewRoman"/>
          <w:sz w:val="22"/>
          <w:szCs w:val="22"/>
          <w:lang w:val="es-ES" w:eastAsia="es-ES"/>
        </w:rPr>
        <w:t>histórico contable, sin considerar ni los niveles generales de precios ni los incrementos</w:t>
      </w:r>
      <w:r>
        <w:rPr>
          <w:rFonts w:ascii="TimesNewRoman" w:hAnsi="TimesNewRoman" w:cs="TimesNewRoman"/>
          <w:sz w:val="22"/>
          <w:szCs w:val="22"/>
          <w:lang w:val="es-ES" w:eastAsia="es-ES"/>
        </w:rPr>
        <w:t xml:space="preserve"> </w:t>
      </w:r>
      <w:r w:rsidRPr="004D5E96">
        <w:rPr>
          <w:rFonts w:ascii="TimesNewRoman" w:hAnsi="TimesNewRoman" w:cs="TimesNewRoman"/>
          <w:sz w:val="22"/>
          <w:szCs w:val="22"/>
          <w:lang w:val="es-ES" w:eastAsia="es-ES"/>
        </w:rPr>
        <w:t>en los precios específicos de los activos poseídos, aunque las propiedades, planta y</w:t>
      </w:r>
      <w:r>
        <w:rPr>
          <w:rFonts w:ascii="TimesNewRoman" w:hAnsi="TimesNewRoman" w:cs="TimesNewRoman"/>
          <w:sz w:val="22"/>
          <w:szCs w:val="22"/>
          <w:lang w:val="es-ES" w:eastAsia="es-ES"/>
        </w:rPr>
        <w:t xml:space="preserve"> </w:t>
      </w:r>
      <w:r w:rsidRPr="004D5E96">
        <w:rPr>
          <w:rFonts w:ascii="TimesNewRoman" w:hAnsi="TimesNewRoman" w:cs="TimesNewRoman"/>
          <w:sz w:val="22"/>
          <w:szCs w:val="22"/>
          <w:lang w:val="es-ES" w:eastAsia="es-ES"/>
        </w:rPr>
        <w:t>equipo, así como las inversiones a largo plazo pueden ser a veces objeto de</w:t>
      </w:r>
      <w:r>
        <w:rPr>
          <w:rFonts w:ascii="TimesNewRoman" w:hAnsi="TimesNewRoman" w:cs="TimesNewRoman"/>
          <w:sz w:val="22"/>
          <w:szCs w:val="22"/>
          <w:lang w:val="es-ES" w:eastAsia="es-ES"/>
        </w:rPr>
        <w:t xml:space="preserve"> </w:t>
      </w:r>
      <w:r w:rsidRPr="004D5E96">
        <w:rPr>
          <w:rFonts w:ascii="TimesNewRoman" w:hAnsi="TimesNewRoman" w:cs="TimesNewRoman"/>
          <w:sz w:val="22"/>
          <w:szCs w:val="22"/>
          <w:u w:val="single"/>
          <w:lang w:val="es-ES" w:eastAsia="es-ES"/>
        </w:rPr>
        <w:t>revaluaciones</w:t>
      </w:r>
      <w:r w:rsidRPr="004D5E96">
        <w:rPr>
          <w:rFonts w:ascii="TimesNewRoman" w:hAnsi="TimesNewRoman" w:cs="TimesNewRoman"/>
          <w:sz w:val="22"/>
          <w:szCs w:val="22"/>
          <w:lang w:val="es-ES" w:eastAsia="es-ES"/>
        </w:rPr>
        <w:t>. No obstante, algunas entidades presentan sus estados financieros</w:t>
      </w:r>
      <w:r>
        <w:rPr>
          <w:rFonts w:ascii="TimesNewRoman" w:hAnsi="TimesNewRoman" w:cs="TimesNewRoman"/>
          <w:sz w:val="22"/>
          <w:szCs w:val="22"/>
          <w:lang w:val="es-ES" w:eastAsia="es-ES"/>
        </w:rPr>
        <w:t xml:space="preserve"> </w:t>
      </w:r>
      <w:r w:rsidRPr="004D5E96">
        <w:rPr>
          <w:rFonts w:ascii="TimesNewRoman" w:hAnsi="TimesNewRoman" w:cs="TimesNewRoman"/>
          <w:sz w:val="22"/>
          <w:szCs w:val="22"/>
          <w:lang w:val="es-ES" w:eastAsia="es-ES"/>
        </w:rPr>
        <w:t>principales basados en el método del costo corriente, reflejando así los efectos de los</w:t>
      </w:r>
      <w:r>
        <w:rPr>
          <w:rFonts w:ascii="TimesNewRoman" w:hAnsi="TimesNewRoman" w:cs="TimesNewRoman"/>
          <w:sz w:val="22"/>
          <w:szCs w:val="22"/>
          <w:lang w:val="es-ES" w:eastAsia="es-ES"/>
        </w:rPr>
        <w:t xml:space="preserve"> </w:t>
      </w:r>
      <w:r w:rsidRPr="004D5E96">
        <w:rPr>
          <w:rFonts w:ascii="TimesNewRoman" w:hAnsi="TimesNewRoman" w:cs="TimesNewRoman"/>
          <w:sz w:val="22"/>
          <w:szCs w:val="22"/>
          <w:lang w:val="es-ES" w:eastAsia="es-ES"/>
        </w:rPr>
        <w:t>cambios en los pre</w:t>
      </w:r>
      <w:r w:rsidR="00846D68">
        <w:rPr>
          <w:rFonts w:ascii="TimesNewRoman" w:hAnsi="TimesNewRoman" w:cs="TimesNewRoman"/>
          <w:sz w:val="22"/>
          <w:szCs w:val="22"/>
          <w:lang w:val="es-ES" w:eastAsia="es-ES"/>
        </w:rPr>
        <w:t>cios específicos de los activos p</w:t>
      </w:r>
      <w:r w:rsidRPr="004D5E96">
        <w:rPr>
          <w:rFonts w:ascii="TimesNewRoman" w:hAnsi="TimesNewRoman" w:cs="TimesNewRoman"/>
          <w:sz w:val="22"/>
          <w:szCs w:val="22"/>
          <w:lang w:val="es-ES" w:eastAsia="es-ES"/>
        </w:rPr>
        <w:t>oseídos.</w:t>
      </w:r>
    </w:p>
    <w:p w:rsidR="00114456" w:rsidRPr="00114456" w:rsidRDefault="00846D68" w:rsidP="00377028">
      <w:pPr>
        <w:spacing w:before="120" w:line="320" w:lineRule="exact"/>
        <w:ind w:firstLine="510"/>
        <w:jc w:val="both"/>
        <w:rPr>
          <w:rFonts w:ascii="TimesNewRoman" w:hAnsi="TimesNewRoman" w:cs="TimesNewRoman"/>
          <w:sz w:val="22"/>
          <w:szCs w:val="22"/>
          <w:lang w:val="es-ES" w:eastAsia="es-ES"/>
        </w:rPr>
      </w:pPr>
      <w:r>
        <w:rPr>
          <w:rFonts w:ascii="TimesNewRoman" w:hAnsi="TimesNewRoman" w:cs="TimesNewRoman"/>
          <w:sz w:val="22"/>
          <w:szCs w:val="22"/>
          <w:lang w:val="es-ES" w:eastAsia="es-ES"/>
        </w:rPr>
        <w:t xml:space="preserve">Asimismo el parágrafo </w:t>
      </w:r>
      <w:r w:rsidR="00114456" w:rsidRPr="00114456">
        <w:rPr>
          <w:rFonts w:ascii="TimesNewRoman" w:hAnsi="TimesNewRoman" w:cs="TimesNewRoman"/>
          <w:sz w:val="22"/>
          <w:szCs w:val="22"/>
          <w:lang w:val="es-ES" w:eastAsia="es-ES"/>
        </w:rPr>
        <w:t xml:space="preserve">29 </w:t>
      </w:r>
      <w:r>
        <w:rPr>
          <w:rFonts w:ascii="TimesNewRoman" w:hAnsi="TimesNewRoman" w:cs="TimesNewRoman"/>
          <w:sz w:val="22"/>
          <w:szCs w:val="22"/>
          <w:lang w:val="es-ES" w:eastAsia="es-ES"/>
        </w:rPr>
        <w:t xml:space="preserve">de la mencionada norma señala que las </w:t>
      </w:r>
      <w:r w:rsidR="00114456" w:rsidRPr="00114456">
        <w:rPr>
          <w:rFonts w:ascii="TimesNewRoman" w:hAnsi="TimesNewRoman" w:cs="TimesNewRoman"/>
          <w:sz w:val="22"/>
          <w:szCs w:val="22"/>
          <w:lang w:val="es-ES" w:eastAsia="es-ES"/>
        </w:rPr>
        <w:t>partidas medidas a costo corriente no serán objeto de reexpresión, por estar ya</w:t>
      </w:r>
      <w:r w:rsidR="00114456">
        <w:rPr>
          <w:rFonts w:ascii="TimesNewRoman" w:hAnsi="TimesNewRoman" w:cs="TimesNewRoman"/>
          <w:sz w:val="22"/>
          <w:szCs w:val="22"/>
          <w:lang w:val="es-ES" w:eastAsia="es-ES"/>
        </w:rPr>
        <w:t xml:space="preserve"> </w:t>
      </w:r>
      <w:r w:rsidR="00114456" w:rsidRPr="00114456">
        <w:rPr>
          <w:rFonts w:ascii="TimesNewRoman" w:hAnsi="TimesNewRoman" w:cs="TimesNewRoman"/>
          <w:sz w:val="22"/>
          <w:szCs w:val="22"/>
          <w:lang w:val="es-ES" w:eastAsia="es-ES"/>
        </w:rPr>
        <w:t>medidas en términos de la unidad de medida corriente en la fecha de cierre del balance.</w:t>
      </w:r>
      <w:r w:rsidR="00114456">
        <w:rPr>
          <w:rFonts w:ascii="TimesNewRoman" w:hAnsi="TimesNewRoman" w:cs="TimesNewRoman"/>
          <w:sz w:val="22"/>
          <w:szCs w:val="22"/>
          <w:lang w:val="es-ES" w:eastAsia="es-ES"/>
        </w:rPr>
        <w:t xml:space="preserve"> </w:t>
      </w:r>
      <w:r w:rsidR="00114456" w:rsidRPr="00114456">
        <w:rPr>
          <w:rFonts w:ascii="TimesNewRoman" w:hAnsi="TimesNewRoman" w:cs="TimesNewRoman"/>
          <w:sz w:val="22"/>
          <w:szCs w:val="22"/>
          <w:lang w:val="es-ES" w:eastAsia="es-ES"/>
        </w:rPr>
        <w:t>Las demás partidas del balance se reexpresarán de acuerdo con lo establecido en los</w:t>
      </w:r>
      <w:r w:rsidR="00114456">
        <w:rPr>
          <w:rFonts w:ascii="TimesNewRoman" w:hAnsi="TimesNewRoman" w:cs="TimesNewRoman"/>
          <w:sz w:val="22"/>
          <w:szCs w:val="22"/>
          <w:lang w:val="es-ES" w:eastAsia="es-ES"/>
        </w:rPr>
        <w:t xml:space="preserve"> </w:t>
      </w:r>
      <w:r w:rsidR="00114456" w:rsidRPr="00114456">
        <w:rPr>
          <w:rFonts w:ascii="TimesNewRoman" w:hAnsi="TimesNewRoman" w:cs="TimesNewRoman"/>
          <w:sz w:val="22"/>
          <w:szCs w:val="22"/>
          <w:lang w:val="es-ES" w:eastAsia="es-ES"/>
        </w:rPr>
        <w:t xml:space="preserve">párrafos </w:t>
      </w:r>
      <w:smartTag w:uri="urn:schemas-microsoft-com:office:smarttags" w:element="metricconverter">
        <w:smartTagPr>
          <w:attr w:name="ProductID" w:val="11 a"/>
        </w:smartTagPr>
        <w:r w:rsidR="00114456" w:rsidRPr="00114456">
          <w:rPr>
            <w:rFonts w:ascii="TimesNewRoman" w:hAnsi="TimesNewRoman" w:cs="TimesNewRoman"/>
            <w:sz w:val="22"/>
            <w:szCs w:val="22"/>
            <w:lang w:val="es-ES" w:eastAsia="es-ES"/>
          </w:rPr>
          <w:t>11 a</w:t>
        </w:r>
      </w:smartTag>
      <w:r w:rsidR="00114456" w:rsidRPr="00114456">
        <w:rPr>
          <w:rFonts w:ascii="TimesNewRoman" w:hAnsi="TimesNewRoman" w:cs="TimesNewRoman"/>
          <w:sz w:val="22"/>
          <w:szCs w:val="22"/>
          <w:lang w:val="es-ES" w:eastAsia="es-ES"/>
        </w:rPr>
        <w:t xml:space="preserve"> 25</w:t>
      </w:r>
      <w:r>
        <w:rPr>
          <w:rFonts w:ascii="TimesNewRoman" w:hAnsi="TimesNewRoman" w:cs="TimesNewRoman"/>
          <w:sz w:val="22"/>
          <w:szCs w:val="22"/>
          <w:lang w:val="es-ES" w:eastAsia="es-ES"/>
        </w:rPr>
        <w:t xml:space="preserve"> de esa norma</w:t>
      </w:r>
      <w:r w:rsidR="00114456" w:rsidRPr="00114456">
        <w:rPr>
          <w:rFonts w:ascii="TimesNewRoman" w:hAnsi="TimesNewRoman" w:cs="TimesNewRoman"/>
          <w:sz w:val="22"/>
          <w:szCs w:val="22"/>
          <w:lang w:val="es-ES" w:eastAsia="es-ES"/>
        </w:rPr>
        <w:t>.</w:t>
      </w:r>
    </w:p>
    <w:p w:rsidR="00846D68" w:rsidRDefault="00846D68" w:rsidP="00377028">
      <w:pPr>
        <w:spacing w:before="120" w:line="320" w:lineRule="exact"/>
        <w:ind w:firstLine="510"/>
        <w:jc w:val="both"/>
        <w:rPr>
          <w:rFonts w:ascii="TimesNewRoman" w:hAnsi="TimesNewRoman" w:cs="TimesNewRoman"/>
          <w:sz w:val="22"/>
          <w:szCs w:val="22"/>
          <w:lang w:val="es-ES" w:eastAsia="es-ES"/>
        </w:rPr>
      </w:pPr>
      <w:r>
        <w:rPr>
          <w:rFonts w:ascii="TimesNewRoman" w:hAnsi="TimesNewRoman" w:cs="TimesNewRoman"/>
          <w:sz w:val="22"/>
          <w:szCs w:val="22"/>
          <w:lang w:val="es-ES" w:eastAsia="es-ES"/>
        </w:rPr>
        <w:lastRenderedPageBreak/>
        <w:t xml:space="preserve">Por otra parte, el parágrafo </w:t>
      </w:r>
      <w:r w:rsidR="00114456" w:rsidRPr="00114456">
        <w:rPr>
          <w:rFonts w:ascii="TimesNewRoman" w:hAnsi="TimesNewRoman" w:cs="TimesNewRoman"/>
          <w:sz w:val="22"/>
          <w:szCs w:val="22"/>
          <w:lang w:val="es-ES" w:eastAsia="es-ES"/>
        </w:rPr>
        <w:t xml:space="preserve">30 </w:t>
      </w:r>
      <w:r>
        <w:rPr>
          <w:rFonts w:ascii="TimesNewRoman" w:hAnsi="TimesNewRoman" w:cs="TimesNewRoman"/>
          <w:sz w:val="22"/>
          <w:szCs w:val="22"/>
          <w:lang w:val="es-ES" w:eastAsia="es-ES"/>
        </w:rPr>
        <w:t xml:space="preserve">indica que </w:t>
      </w:r>
      <w:r w:rsidR="00114456" w:rsidRPr="00114456">
        <w:rPr>
          <w:rFonts w:ascii="TimesNewRoman" w:hAnsi="TimesNewRoman" w:cs="TimesNewRoman"/>
          <w:sz w:val="22"/>
          <w:szCs w:val="22"/>
          <w:lang w:val="es-ES" w:eastAsia="es-ES"/>
        </w:rPr>
        <w:t>el estado de resultados a costo corriente muestra los costos corrientes de</w:t>
      </w:r>
      <w:r w:rsidR="00114456">
        <w:rPr>
          <w:rFonts w:ascii="TimesNewRoman" w:hAnsi="TimesNewRoman" w:cs="TimesNewRoman"/>
          <w:sz w:val="22"/>
          <w:szCs w:val="22"/>
          <w:lang w:val="es-ES" w:eastAsia="es-ES"/>
        </w:rPr>
        <w:t xml:space="preserve"> </w:t>
      </w:r>
      <w:r w:rsidR="00114456" w:rsidRPr="00114456">
        <w:rPr>
          <w:rFonts w:ascii="TimesNewRoman" w:hAnsi="TimesNewRoman" w:cs="TimesNewRoman"/>
          <w:sz w:val="22"/>
          <w:szCs w:val="22"/>
          <w:lang w:val="es-ES" w:eastAsia="es-ES"/>
        </w:rPr>
        <w:t>las partidas en el momento en que las transacciones y sucesos correspondientes</w:t>
      </w:r>
      <w:r w:rsidR="00114456">
        <w:rPr>
          <w:rFonts w:ascii="TimesNewRoman" w:hAnsi="TimesNewRoman" w:cs="TimesNewRoman"/>
          <w:sz w:val="22"/>
          <w:szCs w:val="22"/>
          <w:lang w:val="es-ES" w:eastAsia="es-ES"/>
        </w:rPr>
        <w:t xml:space="preserve"> </w:t>
      </w:r>
      <w:r w:rsidR="00114456" w:rsidRPr="00114456">
        <w:rPr>
          <w:rFonts w:ascii="TimesNewRoman" w:hAnsi="TimesNewRoman" w:cs="TimesNewRoman"/>
          <w:sz w:val="22"/>
          <w:szCs w:val="22"/>
          <w:lang w:val="es-ES" w:eastAsia="es-ES"/>
        </w:rPr>
        <w:t>ocurrieron. El costo de las ventas y la depreciación se registran según sus costos</w:t>
      </w:r>
      <w:r w:rsidR="00114456">
        <w:rPr>
          <w:rFonts w:ascii="TimesNewRoman" w:hAnsi="TimesNewRoman" w:cs="TimesNewRoman"/>
          <w:sz w:val="22"/>
          <w:szCs w:val="22"/>
          <w:lang w:val="es-ES" w:eastAsia="es-ES"/>
        </w:rPr>
        <w:t xml:space="preserve"> </w:t>
      </w:r>
      <w:r w:rsidR="00114456" w:rsidRPr="00114456">
        <w:rPr>
          <w:rFonts w:ascii="TimesNewRoman" w:hAnsi="TimesNewRoman" w:cs="TimesNewRoman"/>
          <w:sz w:val="22"/>
          <w:szCs w:val="22"/>
          <w:lang w:val="es-ES" w:eastAsia="es-ES"/>
        </w:rPr>
        <w:t>corrientes en el momento del consumo, las ventas y los otros gastos se registran por</w:t>
      </w:r>
      <w:r w:rsidR="00114456">
        <w:rPr>
          <w:rFonts w:ascii="TimesNewRoman" w:hAnsi="TimesNewRoman" w:cs="TimesNewRoman"/>
          <w:sz w:val="22"/>
          <w:szCs w:val="22"/>
          <w:lang w:val="es-ES" w:eastAsia="es-ES"/>
        </w:rPr>
        <w:t xml:space="preserve"> </w:t>
      </w:r>
      <w:r w:rsidR="00114456" w:rsidRPr="00114456">
        <w:rPr>
          <w:rFonts w:ascii="TimesNewRoman" w:hAnsi="TimesNewRoman" w:cs="TimesNewRoman"/>
          <w:sz w:val="22"/>
          <w:szCs w:val="22"/>
          <w:lang w:val="es-ES" w:eastAsia="es-ES"/>
        </w:rPr>
        <w:t>sus importes monetarios al ser llevados a cabo. Por ello todas estas partidas necesitan</w:t>
      </w:r>
      <w:r w:rsidR="00114456">
        <w:rPr>
          <w:rFonts w:ascii="TimesNewRoman" w:hAnsi="TimesNewRoman" w:cs="TimesNewRoman"/>
          <w:sz w:val="22"/>
          <w:szCs w:val="22"/>
          <w:lang w:val="es-ES" w:eastAsia="es-ES"/>
        </w:rPr>
        <w:t xml:space="preserve"> </w:t>
      </w:r>
      <w:r w:rsidR="00114456" w:rsidRPr="00114456">
        <w:rPr>
          <w:rFonts w:ascii="TimesNewRoman" w:hAnsi="TimesNewRoman" w:cs="TimesNewRoman"/>
          <w:sz w:val="22"/>
          <w:szCs w:val="22"/>
          <w:lang w:val="es-ES" w:eastAsia="es-ES"/>
        </w:rPr>
        <w:t>ser reexpresadas en términos de la unidad de medida corriente en la fecha de cierre del</w:t>
      </w:r>
      <w:r>
        <w:rPr>
          <w:rFonts w:ascii="TimesNewRoman" w:hAnsi="TimesNewRoman" w:cs="TimesNewRoman"/>
          <w:sz w:val="22"/>
          <w:szCs w:val="22"/>
          <w:lang w:val="es-ES" w:eastAsia="es-ES"/>
        </w:rPr>
        <w:t xml:space="preserve"> estado de situación</w:t>
      </w:r>
      <w:r w:rsidR="00114456" w:rsidRPr="00114456">
        <w:rPr>
          <w:rFonts w:ascii="TimesNewRoman" w:hAnsi="TimesNewRoman" w:cs="TimesNewRoman"/>
          <w:sz w:val="22"/>
          <w:szCs w:val="22"/>
          <w:lang w:val="es-ES" w:eastAsia="es-ES"/>
        </w:rPr>
        <w:t xml:space="preserve">, y ello se hace aplicando las variaciones </w:t>
      </w:r>
      <w:r>
        <w:rPr>
          <w:rFonts w:ascii="TimesNewRoman" w:hAnsi="TimesNewRoman" w:cs="TimesNewRoman"/>
          <w:sz w:val="22"/>
          <w:szCs w:val="22"/>
          <w:lang w:val="es-ES" w:eastAsia="es-ES"/>
        </w:rPr>
        <w:t>de un índice general de precios.</w:t>
      </w:r>
    </w:p>
    <w:p w:rsidR="00846D68" w:rsidRPr="00846D68" w:rsidRDefault="00846D68" w:rsidP="00377028">
      <w:pPr>
        <w:spacing w:before="120" w:line="320" w:lineRule="exact"/>
        <w:ind w:firstLine="510"/>
        <w:jc w:val="both"/>
        <w:rPr>
          <w:rFonts w:ascii="TimesNewRoman" w:hAnsi="TimesNewRoman" w:cs="TimesNewRoman"/>
          <w:sz w:val="22"/>
          <w:szCs w:val="22"/>
          <w:lang w:val="es-ES" w:eastAsia="es-ES"/>
        </w:rPr>
      </w:pPr>
      <w:r>
        <w:rPr>
          <w:rFonts w:ascii="TimesNewRoman" w:hAnsi="TimesNewRoman" w:cs="TimesNewRoman"/>
          <w:sz w:val="22"/>
          <w:szCs w:val="22"/>
          <w:lang w:val="es-ES" w:eastAsia="es-ES"/>
        </w:rPr>
        <w:t xml:space="preserve">La Declaración de Principios número 10 en su parágrafo 107 indica </w:t>
      </w:r>
      <w:r w:rsidRPr="00846D68">
        <w:rPr>
          <w:rFonts w:ascii="TimesNewRoman" w:hAnsi="TimesNewRoman" w:cs="TimesNewRoman"/>
          <w:sz w:val="22"/>
          <w:szCs w:val="22"/>
          <w:lang w:val="es-ES" w:eastAsia="es-ES"/>
        </w:rPr>
        <w:t>que la incorporación de los valores corrientes en el método mixto, puede hacerse sobre una de las siguientes opciones:</w:t>
      </w:r>
    </w:p>
    <w:p w:rsidR="00846D68" w:rsidRPr="00846D68" w:rsidRDefault="00846D68" w:rsidP="00377028">
      <w:pPr>
        <w:spacing w:before="120" w:line="320" w:lineRule="exact"/>
        <w:ind w:firstLine="510"/>
        <w:jc w:val="both"/>
        <w:rPr>
          <w:rFonts w:ascii="TimesNewRoman" w:hAnsi="TimesNewRoman" w:cs="TimesNewRoman"/>
          <w:sz w:val="22"/>
          <w:szCs w:val="22"/>
          <w:lang w:val="es-ES" w:eastAsia="es-ES"/>
        </w:rPr>
      </w:pPr>
      <w:r>
        <w:rPr>
          <w:rFonts w:ascii="TimesNewRoman" w:hAnsi="TimesNewRoman" w:cs="TimesNewRoman"/>
          <w:sz w:val="22"/>
          <w:szCs w:val="22"/>
          <w:lang w:val="es-ES" w:eastAsia="es-ES"/>
        </w:rPr>
        <w:t xml:space="preserve">a. </w:t>
      </w:r>
      <w:r w:rsidRPr="00846D68">
        <w:rPr>
          <w:rFonts w:ascii="TimesNewRoman" w:hAnsi="TimesNewRoman" w:cs="TimesNewRoman"/>
          <w:sz w:val="22"/>
          <w:szCs w:val="22"/>
          <w:lang w:val="es-ES" w:eastAsia="es-ES"/>
        </w:rPr>
        <w:t>Todo el activo fijo</w:t>
      </w:r>
    </w:p>
    <w:p w:rsidR="00846D68" w:rsidRPr="00846D68" w:rsidRDefault="00846D68" w:rsidP="00377028">
      <w:pPr>
        <w:spacing w:before="120" w:line="320" w:lineRule="exact"/>
        <w:ind w:firstLine="510"/>
        <w:jc w:val="both"/>
        <w:rPr>
          <w:rFonts w:ascii="TimesNewRoman" w:hAnsi="TimesNewRoman" w:cs="TimesNewRoman"/>
          <w:sz w:val="22"/>
          <w:szCs w:val="22"/>
          <w:lang w:val="es-ES" w:eastAsia="es-ES"/>
        </w:rPr>
      </w:pPr>
      <w:r>
        <w:rPr>
          <w:rFonts w:ascii="TimesNewRoman" w:hAnsi="TimesNewRoman" w:cs="TimesNewRoman"/>
          <w:sz w:val="22"/>
          <w:szCs w:val="22"/>
          <w:lang w:val="es-ES" w:eastAsia="es-ES"/>
        </w:rPr>
        <w:t xml:space="preserve">b. </w:t>
      </w:r>
      <w:r w:rsidRPr="00846D68">
        <w:rPr>
          <w:rFonts w:ascii="TimesNewRoman" w:hAnsi="TimesNewRoman" w:cs="TimesNewRoman"/>
          <w:sz w:val="22"/>
          <w:szCs w:val="22"/>
          <w:lang w:val="es-ES" w:eastAsia="es-ES"/>
        </w:rPr>
        <w:t>Todo el activo fijo y los inventarios</w:t>
      </w:r>
    </w:p>
    <w:p w:rsidR="00846D68" w:rsidRPr="009907AF" w:rsidRDefault="009907AF" w:rsidP="00377028">
      <w:pPr>
        <w:spacing w:before="120" w:after="120" w:line="320" w:lineRule="exact"/>
        <w:ind w:firstLine="510"/>
        <w:jc w:val="both"/>
        <w:rPr>
          <w:rFonts w:ascii="Times New Roman" w:hAnsi="Times New Roman" w:cs="Times New Roman"/>
          <w:sz w:val="22"/>
          <w:szCs w:val="22"/>
        </w:rPr>
      </w:pPr>
      <w:r w:rsidRPr="009907AF">
        <w:rPr>
          <w:rFonts w:ascii="Times New Roman" w:hAnsi="Times New Roman" w:cs="Times New Roman"/>
          <w:sz w:val="22"/>
          <w:szCs w:val="22"/>
        </w:rPr>
        <w:t>Por definición</w:t>
      </w:r>
      <w:r w:rsidR="00377028">
        <w:rPr>
          <w:rFonts w:ascii="Times New Roman" w:hAnsi="Times New Roman" w:cs="Times New Roman"/>
          <w:sz w:val="22"/>
          <w:szCs w:val="22"/>
        </w:rPr>
        <w:t>,</w:t>
      </w:r>
      <w:r w:rsidRPr="009907AF">
        <w:rPr>
          <w:rFonts w:ascii="Times New Roman" w:hAnsi="Times New Roman" w:cs="Times New Roman"/>
          <w:sz w:val="22"/>
          <w:szCs w:val="22"/>
        </w:rPr>
        <w:t xml:space="preserve"> el valor corriente del inventario es el importe de efectivo y otras partidas equivalentes de efectivo, que debería pagarse si se adquiriese en la actualidad el mismo inventario u otro equivalente</w:t>
      </w:r>
      <w:r w:rsidRPr="009907AF">
        <w:rPr>
          <w:rFonts w:ascii="Times New Roman" w:hAnsi="Times New Roman" w:cs="Times New Roman"/>
          <w:i/>
          <w:color w:val="FF0000"/>
          <w:sz w:val="22"/>
          <w:szCs w:val="22"/>
        </w:rPr>
        <w:t xml:space="preserve">. </w:t>
      </w:r>
      <w:r w:rsidRPr="009907AF">
        <w:rPr>
          <w:rFonts w:ascii="Times New Roman" w:hAnsi="Times New Roman" w:cs="Times New Roman"/>
          <w:sz w:val="22"/>
          <w:szCs w:val="22"/>
        </w:rPr>
        <w:t xml:space="preserve">Con base en la incorporación de los costos o valores corrientes </w:t>
      </w:r>
      <w:r w:rsidR="00846D68" w:rsidRPr="009907AF">
        <w:rPr>
          <w:rFonts w:ascii="Times New Roman" w:hAnsi="Times New Roman" w:cs="Times New Roman"/>
          <w:sz w:val="22"/>
          <w:szCs w:val="22"/>
        </w:rPr>
        <w:t>en el inventario se aplicará solo en aquellos casos en que presenten una rotación superior a seis meses. En caso contrario se mantienen los valores ajustados de acuerdo con el método de nivel general de precios.</w:t>
      </w:r>
      <w:r w:rsidRPr="009907AF">
        <w:rPr>
          <w:rFonts w:ascii="Times New Roman" w:hAnsi="Times New Roman" w:cs="Times New Roman"/>
          <w:sz w:val="22"/>
          <w:szCs w:val="22"/>
        </w:rPr>
        <w:t xml:space="preserve"> Es de entender que, el </w:t>
      </w:r>
      <w:r w:rsidR="00846D68" w:rsidRPr="009907AF">
        <w:rPr>
          <w:rFonts w:ascii="Times New Roman" w:hAnsi="Times New Roman" w:cs="Times New Roman"/>
          <w:sz w:val="22"/>
          <w:szCs w:val="22"/>
        </w:rPr>
        <w:t>valor corriente de los diferentes inventarios es inferior al valor según libros, el ajuste para actualizarlos afecta los resultados del ejercicio en curso.</w:t>
      </w:r>
    </w:p>
    <w:p w:rsidR="00846D68" w:rsidRPr="009907AF" w:rsidRDefault="009907AF" w:rsidP="00377028">
      <w:pPr>
        <w:spacing w:before="120" w:after="120" w:line="320" w:lineRule="exact"/>
        <w:ind w:firstLine="510"/>
        <w:jc w:val="both"/>
        <w:rPr>
          <w:rFonts w:ascii="Times New Roman" w:hAnsi="Times New Roman" w:cs="Times New Roman"/>
          <w:sz w:val="22"/>
          <w:szCs w:val="22"/>
        </w:rPr>
      </w:pPr>
      <w:r w:rsidRPr="009907AF">
        <w:rPr>
          <w:rFonts w:ascii="Times New Roman" w:hAnsi="Times New Roman" w:cs="Times New Roman"/>
          <w:sz w:val="22"/>
          <w:szCs w:val="22"/>
        </w:rPr>
        <w:t>Con relación a la propiedad planta y equipo, e</w:t>
      </w:r>
      <w:r w:rsidR="00846D68" w:rsidRPr="009907AF">
        <w:rPr>
          <w:rFonts w:ascii="Times New Roman" w:hAnsi="Times New Roman" w:cs="Times New Roman"/>
          <w:sz w:val="22"/>
          <w:szCs w:val="22"/>
        </w:rPr>
        <w:t>l valor corriente es: (a) el costo histórico reexpresado por índices de precios específicos, bien sea de la industria en particular o de precios al por mayor según el Banco Central de Venezuela, menos la correspondiente depreciación acumulada; o (b) el costo de reposición menos la correspondiente depreciación acumulada, salvo que circunstancias específicas justifiquen que sea el valor de desecho.</w:t>
      </w:r>
      <w:r w:rsidRPr="009907AF">
        <w:rPr>
          <w:rFonts w:ascii="Times New Roman" w:hAnsi="Times New Roman" w:cs="Times New Roman"/>
          <w:sz w:val="22"/>
          <w:szCs w:val="22"/>
        </w:rPr>
        <w:t xml:space="preserve"> </w:t>
      </w:r>
      <w:r w:rsidR="00846D68" w:rsidRPr="009907AF">
        <w:rPr>
          <w:rFonts w:ascii="Times New Roman" w:hAnsi="Times New Roman" w:cs="Times New Roman"/>
          <w:sz w:val="22"/>
          <w:szCs w:val="22"/>
        </w:rPr>
        <w:t>El costo de reposición</w:t>
      </w:r>
      <w:r w:rsidRPr="009907AF">
        <w:rPr>
          <w:rFonts w:ascii="Times New Roman" w:hAnsi="Times New Roman" w:cs="Times New Roman"/>
          <w:sz w:val="22"/>
          <w:szCs w:val="22"/>
        </w:rPr>
        <w:t xml:space="preserve"> o de reemplazo</w:t>
      </w:r>
      <w:r w:rsidR="00846D68" w:rsidRPr="009907AF">
        <w:rPr>
          <w:rFonts w:ascii="Times New Roman" w:hAnsi="Times New Roman" w:cs="Times New Roman"/>
          <w:sz w:val="22"/>
          <w:szCs w:val="22"/>
        </w:rPr>
        <w:t xml:space="preserve"> de un activo fijo es el costo de adquisición de un activo fijo similar, nuevo o usado,  con una capacidad productiva o un potencial de servicio equivalentes.</w:t>
      </w:r>
    </w:p>
    <w:p w:rsidR="00846D68" w:rsidRDefault="00846D68" w:rsidP="00377028">
      <w:pPr>
        <w:spacing w:before="120" w:after="120" w:line="320" w:lineRule="exact"/>
        <w:ind w:firstLine="510"/>
        <w:jc w:val="both"/>
        <w:rPr>
          <w:rFonts w:ascii="Times New Roman" w:hAnsi="Times New Roman" w:cs="Times New Roman"/>
          <w:sz w:val="22"/>
          <w:szCs w:val="22"/>
        </w:rPr>
      </w:pPr>
      <w:r w:rsidRPr="009907AF">
        <w:rPr>
          <w:rFonts w:ascii="Times New Roman" w:hAnsi="Times New Roman" w:cs="Times New Roman"/>
          <w:sz w:val="22"/>
          <w:szCs w:val="22"/>
        </w:rPr>
        <w:t xml:space="preserve">Cuando se utiliza el método de línea recta, la depreciación acumulada indicada en el párrafo 111, debe calcularse dividiendo el valor corriente entre la vida útil total, que es la suma de la vida útil transcurrida más la vida útil restante estimada por el tasador; la alícuota obtenida se multiplica por el número de años transcurridos. La vida útil total se calcula de igual forma cuando se usan otros métodos de depreciación. </w:t>
      </w:r>
    </w:p>
    <w:p w:rsidR="000052A1" w:rsidRDefault="001F5747" w:rsidP="00377028">
      <w:pPr>
        <w:spacing w:before="120" w:after="120" w:line="320" w:lineRule="exact"/>
        <w:ind w:firstLine="510"/>
        <w:jc w:val="both"/>
        <w:rPr>
          <w:rFonts w:ascii="Times New Roman" w:hAnsi="Times New Roman" w:cs="Times New Roman"/>
          <w:bCs/>
          <w:sz w:val="22"/>
          <w:szCs w:val="22"/>
          <w:lang w:val="es-ES" w:eastAsia="es-ES"/>
        </w:rPr>
      </w:pPr>
      <w:r w:rsidRPr="000052A1">
        <w:rPr>
          <w:rFonts w:ascii="Times New Roman" w:hAnsi="Times New Roman" w:cs="Times New Roman"/>
          <w:sz w:val="22"/>
          <w:szCs w:val="22"/>
        </w:rPr>
        <w:t>Por su parte</w:t>
      </w:r>
      <w:r w:rsidR="000052A1" w:rsidRPr="000052A1">
        <w:rPr>
          <w:rFonts w:ascii="Times New Roman" w:hAnsi="Times New Roman" w:cs="Times New Roman"/>
          <w:sz w:val="22"/>
          <w:szCs w:val="22"/>
        </w:rPr>
        <w:t xml:space="preserve">, la Norma Internacional de Contabilidad 16 (NIC 16) con relación al costo indica que </w:t>
      </w:r>
      <w:r w:rsidR="000052A1" w:rsidRPr="000052A1">
        <w:rPr>
          <w:rFonts w:ascii="Times New Roman" w:hAnsi="Times New Roman" w:cs="Times New Roman"/>
          <w:bCs/>
          <w:sz w:val="22"/>
          <w:szCs w:val="22"/>
          <w:lang w:val="es-ES" w:eastAsia="es-ES"/>
        </w:rPr>
        <w:t xml:space="preserve">es el importe de efectivo o medios líquidos equivalentes al efectivo pagados, o el valor razonable de la contraprestación entregada, para comprar un activo en el momento de su adquisición o construcción o, cuando sea aplicable, el importe atribuido a ese activo cuando sea inicialmente reconocido de acuerdo con los requerimientos específicos de otras NIIF. Agrega la norma que, </w:t>
      </w:r>
      <w:r w:rsidR="000052A1">
        <w:rPr>
          <w:rFonts w:ascii="Times New Roman" w:hAnsi="Times New Roman" w:cs="Times New Roman"/>
          <w:bCs/>
          <w:sz w:val="22"/>
          <w:szCs w:val="22"/>
          <w:lang w:val="es-ES" w:eastAsia="es-ES"/>
        </w:rPr>
        <w:t>t</w:t>
      </w:r>
      <w:r w:rsidR="000052A1" w:rsidRPr="000052A1">
        <w:rPr>
          <w:rFonts w:ascii="Times New Roman" w:hAnsi="Times New Roman" w:cs="Times New Roman"/>
          <w:bCs/>
          <w:sz w:val="22"/>
          <w:szCs w:val="22"/>
          <w:lang w:val="es-ES" w:eastAsia="es-ES"/>
        </w:rPr>
        <w:t>odo elemento de propiedades, planta y equipo, que cumpla las condiciones para</w:t>
      </w:r>
      <w:r w:rsidR="000052A1">
        <w:rPr>
          <w:rFonts w:ascii="Times New Roman" w:hAnsi="Times New Roman" w:cs="Times New Roman"/>
          <w:bCs/>
          <w:sz w:val="22"/>
          <w:szCs w:val="22"/>
          <w:lang w:val="es-ES" w:eastAsia="es-ES"/>
        </w:rPr>
        <w:t xml:space="preserve"> </w:t>
      </w:r>
      <w:r w:rsidR="000052A1" w:rsidRPr="000052A1">
        <w:rPr>
          <w:rFonts w:ascii="Times New Roman" w:hAnsi="Times New Roman" w:cs="Times New Roman"/>
          <w:bCs/>
          <w:sz w:val="22"/>
          <w:szCs w:val="22"/>
          <w:lang w:val="es-ES" w:eastAsia="es-ES"/>
        </w:rPr>
        <w:t xml:space="preserve">ser </w:t>
      </w:r>
      <w:r w:rsidR="000052A1" w:rsidRPr="000052A1">
        <w:rPr>
          <w:rFonts w:ascii="Times New Roman" w:hAnsi="Times New Roman" w:cs="Times New Roman"/>
          <w:bCs/>
          <w:sz w:val="22"/>
          <w:szCs w:val="22"/>
          <w:lang w:val="es-ES" w:eastAsia="es-ES"/>
        </w:rPr>
        <w:lastRenderedPageBreak/>
        <w:t>reconocido como un activo, se valorará por su costo. Es hacer notar que la norma no menciona expresamente el término “costo corriente”</w:t>
      </w:r>
      <w:r w:rsidR="000052A1">
        <w:rPr>
          <w:rFonts w:ascii="Times New Roman" w:hAnsi="Times New Roman" w:cs="Times New Roman"/>
          <w:bCs/>
          <w:sz w:val="22"/>
          <w:szCs w:val="22"/>
          <w:lang w:val="es-ES" w:eastAsia="es-ES"/>
        </w:rPr>
        <w:t xml:space="preserve"> en ninguno de sus parágrafos</w:t>
      </w:r>
      <w:r w:rsidR="000052A1" w:rsidRPr="000052A1">
        <w:rPr>
          <w:rFonts w:ascii="Times New Roman" w:hAnsi="Times New Roman" w:cs="Times New Roman"/>
          <w:bCs/>
          <w:sz w:val="22"/>
          <w:szCs w:val="22"/>
          <w:lang w:val="es-ES" w:eastAsia="es-ES"/>
        </w:rPr>
        <w:t>.</w:t>
      </w:r>
    </w:p>
    <w:p w:rsidR="00DF10E4" w:rsidRPr="00D81756" w:rsidRDefault="00AC62E3" w:rsidP="00D81756">
      <w:pPr>
        <w:spacing w:before="120" w:after="120" w:line="320" w:lineRule="exact"/>
        <w:ind w:firstLine="510"/>
        <w:jc w:val="both"/>
        <w:rPr>
          <w:rFonts w:ascii="Times New Roman" w:hAnsi="Times New Roman" w:cs="Times New Roman"/>
          <w:bCs/>
          <w:sz w:val="22"/>
          <w:szCs w:val="22"/>
          <w:lang w:val="es-ES" w:eastAsia="es-ES"/>
        </w:rPr>
      </w:pPr>
      <w:r>
        <w:rPr>
          <w:rFonts w:ascii="Times New Roman" w:hAnsi="Times New Roman" w:cs="Times New Roman"/>
          <w:bCs/>
          <w:sz w:val="22"/>
          <w:szCs w:val="22"/>
          <w:lang w:val="es-ES" w:eastAsia="es-ES"/>
        </w:rPr>
        <w:t>Para distinguir la aplicación de los valores corrientes a los estados financieros ajustados por inflación, la DPC 10 propone aplicar la metodología de ajuste en una primera instancia el método de precios contantes y luego el modelo del costo propuesto en la NIC 16. Sin Embargo, la NIC 29 propone aplicar en una primera instancia el modelo de valores corrientes y luego la metodología de precios constantes.</w:t>
      </w:r>
    </w:p>
    <w:sectPr w:rsidR="00DF10E4" w:rsidRPr="00D81756" w:rsidSect="00110553">
      <w:headerReference w:type="default" r:id="rId8"/>
      <w:footerReference w:type="even" r:id="rId9"/>
      <w:footerReference w:type="default" r:id="rId10"/>
      <w:footnotePr>
        <w:numStart w:val="3"/>
      </w:footnotePr>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505" w:rsidRDefault="00642505">
      <w:r>
        <w:separator/>
      </w:r>
    </w:p>
  </w:endnote>
  <w:endnote w:type="continuationSeparator" w:id="1">
    <w:p w:rsidR="00642505" w:rsidRDefault="00642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18" w:rsidRDefault="003046A2" w:rsidP="0068045B">
    <w:pPr>
      <w:pStyle w:val="Piedepgina"/>
      <w:framePr w:wrap="around" w:vAnchor="text" w:hAnchor="margin" w:xAlign="center" w:y="1"/>
      <w:rPr>
        <w:rStyle w:val="Nmerodepgina"/>
      </w:rPr>
    </w:pPr>
    <w:r>
      <w:rPr>
        <w:rStyle w:val="Nmerodepgina"/>
      </w:rPr>
      <w:fldChar w:fldCharType="begin"/>
    </w:r>
    <w:r w:rsidR="00F43E18">
      <w:rPr>
        <w:rStyle w:val="Nmerodepgina"/>
      </w:rPr>
      <w:instrText xml:space="preserve">PAGE  </w:instrText>
    </w:r>
    <w:r>
      <w:rPr>
        <w:rStyle w:val="Nmerodepgina"/>
      </w:rPr>
      <w:fldChar w:fldCharType="end"/>
    </w:r>
  </w:p>
  <w:p w:rsidR="00F43E18" w:rsidRDefault="00F43E18" w:rsidP="00D50E3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5B" w:rsidRDefault="003046A2" w:rsidP="00447F5D">
    <w:pPr>
      <w:pStyle w:val="Piedepgina"/>
      <w:framePr w:wrap="around" w:vAnchor="text" w:hAnchor="margin" w:xAlign="center" w:y="1"/>
      <w:rPr>
        <w:rStyle w:val="Nmerodepgina"/>
      </w:rPr>
    </w:pPr>
    <w:r>
      <w:rPr>
        <w:rStyle w:val="Nmerodepgina"/>
      </w:rPr>
      <w:fldChar w:fldCharType="begin"/>
    </w:r>
    <w:r w:rsidR="0068045B">
      <w:rPr>
        <w:rStyle w:val="Nmerodepgina"/>
      </w:rPr>
      <w:instrText xml:space="preserve">PAGE  </w:instrText>
    </w:r>
    <w:r>
      <w:rPr>
        <w:rStyle w:val="Nmerodepgina"/>
      </w:rPr>
      <w:fldChar w:fldCharType="separate"/>
    </w:r>
    <w:r w:rsidR="00D013DF">
      <w:rPr>
        <w:rStyle w:val="Nmerodepgina"/>
        <w:noProof/>
      </w:rPr>
      <w:t>9</w:t>
    </w:r>
    <w:r>
      <w:rPr>
        <w:rStyle w:val="Nmerodepgina"/>
      </w:rPr>
      <w:fldChar w:fldCharType="end"/>
    </w:r>
  </w:p>
  <w:p w:rsidR="00F43E18" w:rsidRDefault="00F43E18" w:rsidP="00D50E3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505" w:rsidRDefault="00642505">
      <w:r>
        <w:separator/>
      </w:r>
    </w:p>
  </w:footnote>
  <w:footnote w:type="continuationSeparator" w:id="1">
    <w:p w:rsidR="00642505" w:rsidRDefault="00642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18" w:rsidRPr="00FC1B63" w:rsidRDefault="003046A2" w:rsidP="00F23AF8">
    <w:pPr>
      <w:pStyle w:val="Encabezado"/>
      <w:jc w:val="center"/>
      <w:rPr>
        <w:rFonts w:ascii="Courier New" w:hAnsi="Courier New"/>
        <w:i/>
        <w:iCs/>
        <w:sz w:val="16"/>
        <w:szCs w:val="16"/>
        <w:lang w:val="es-ES"/>
      </w:rPr>
    </w:pPr>
    <w:r>
      <w:rPr>
        <w:rFonts w:ascii="Courier New" w:hAnsi="Courier New"/>
        <w:i/>
        <w:iCs/>
        <w:noProof/>
        <w:sz w:val="16"/>
        <w:szCs w:val="16"/>
        <w:lang w:val="es-VE" w:eastAsia="es-VE"/>
      </w:rPr>
      <w:pict>
        <v:line id="_x0000_s2051" style="position:absolute;left:0;text-align:left;flip:y;z-index:251657728" from="0,17.45pt" to="441pt,17.6pt" strokeweight="1.5pt">
          <w10:wrap side="left"/>
        </v:line>
      </w:pict>
    </w:r>
    <w:r w:rsidR="00F43E18">
      <w:rPr>
        <w:rFonts w:ascii="Courier New" w:hAnsi="Courier New"/>
        <w:i/>
        <w:iCs/>
        <w:sz w:val="16"/>
        <w:szCs w:val="16"/>
        <w:lang w:val="es-ES"/>
      </w:rPr>
      <w:t xml:space="preserve">El Ajuste por Efectos de </w:t>
    </w:r>
    <w:smartTag w:uri="urn:schemas-microsoft-com:office:smarttags" w:element="PersonName">
      <w:smartTagPr>
        <w:attr w:name="ProductID" w:val="la Inflaci￳n"/>
      </w:smartTagPr>
      <w:r w:rsidR="00F43E18">
        <w:rPr>
          <w:rFonts w:ascii="Courier New" w:hAnsi="Courier New"/>
          <w:i/>
          <w:iCs/>
          <w:sz w:val="16"/>
          <w:szCs w:val="16"/>
          <w:lang w:val="es-ES"/>
        </w:rPr>
        <w:t>la Inflación</w:t>
      </w:r>
    </w:smartTag>
    <w:r w:rsidR="00F43E18">
      <w:rPr>
        <w:rFonts w:ascii="Courier New" w:hAnsi="Courier New"/>
        <w:i/>
        <w:iCs/>
        <w:sz w:val="16"/>
        <w:szCs w:val="16"/>
        <w:lang w:val="es-ES"/>
      </w:rPr>
      <w:t xml:space="preserve"> en </w:t>
    </w:r>
    <w:smartTag w:uri="urn:schemas-microsoft-com:office:smarttags" w:element="PersonName">
      <w:smartTagPr>
        <w:attr w:name="ProductID" w:val="la Informaci￳n Financiera"/>
      </w:smartTagPr>
      <w:r w:rsidR="00F43E18">
        <w:rPr>
          <w:rFonts w:ascii="Courier New" w:hAnsi="Courier New"/>
          <w:i/>
          <w:iCs/>
          <w:sz w:val="16"/>
          <w:szCs w:val="16"/>
          <w:lang w:val="es-ES"/>
        </w:rPr>
        <w:t>la Información Financiera</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92065E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9413CB"/>
    <w:multiLevelType w:val="hybridMultilevel"/>
    <w:tmpl w:val="057E06C8"/>
    <w:lvl w:ilvl="0" w:tplc="1486D958">
      <w:numFmt w:val="decimal"/>
      <w:lvlText w:val="%1."/>
      <w:lvlJc w:val="left"/>
      <w:pPr>
        <w:tabs>
          <w:tab w:val="num" w:pos="360"/>
        </w:tabs>
        <w:ind w:left="360" w:firstLine="0"/>
      </w:pPr>
      <w:rPr>
        <w:rFonts w:ascii="Calibri" w:hAnsi="Calibri"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383B9E"/>
    <w:multiLevelType w:val="hybridMultilevel"/>
    <w:tmpl w:val="A39E951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663DAB"/>
    <w:multiLevelType w:val="multilevel"/>
    <w:tmpl w:val="A39648D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3D480C"/>
    <w:multiLevelType w:val="hybridMultilevel"/>
    <w:tmpl w:val="6CAA0CAE"/>
    <w:lvl w:ilvl="0" w:tplc="0C0A000B">
      <w:start w:val="1"/>
      <w:numFmt w:val="bullet"/>
      <w:lvlText w:val=""/>
      <w:lvlJc w:val="left"/>
      <w:pPr>
        <w:tabs>
          <w:tab w:val="num" w:pos="1230"/>
        </w:tabs>
        <w:ind w:left="1230" w:hanging="360"/>
      </w:pPr>
      <w:rPr>
        <w:rFonts w:ascii="Wingdings" w:hAnsi="Wingdings" w:hint="default"/>
      </w:rPr>
    </w:lvl>
    <w:lvl w:ilvl="1" w:tplc="0C0A0003" w:tentative="1">
      <w:start w:val="1"/>
      <w:numFmt w:val="bullet"/>
      <w:lvlText w:val="o"/>
      <w:lvlJc w:val="left"/>
      <w:pPr>
        <w:tabs>
          <w:tab w:val="num" w:pos="1950"/>
        </w:tabs>
        <w:ind w:left="1950" w:hanging="360"/>
      </w:pPr>
      <w:rPr>
        <w:rFonts w:ascii="Courier New" w:hAnsi="Courier New" w:cs="Courier New" w:hint="default"/>
      </w:rPr>
    </w:lvl>
    <w:lvl w:ilvl="2" w:tplc="0C0A0005" w:tentative="1">
      <w:start w:val="1"/>
      <w:numFmt w:val="bullet"/>
      <w:lvlText w:val=""/>
      <w:lvlJc w:val="left"/>
      <w:pPr>
        <w:tabs>
          <w:tab w:val="num" w:pos="2670"/>
        </w:tabs>
        <w:ind w:left="2670" w:hanging="360"/>
      </w:pPr>
      <w:rPr>
        <w:rFonts w:ascii="Wingdings" w:hAnsi="Wingdings" w:hint="default"/>
      </w:rPr>
    </w:lvl>
    <w:lvl w:ilvl="3" w:tplc="0C0A0001" w:tentative="1">
      <w:start w:val="1"/>
      <w:numFmt w:val="bullet"/>
      <w:lvlText w:val=""/>
      <w:lvlJc w:val="left"/>
      <w:pPr>
        <w:tabs>
          <w:tab w:val="num" w:pos="3390"/>
        </w:tabs>
        <w:ind w:left="3390" w:hanging="360"/>
      </w:pPr>
      <w:rPr>
        <w:rFonts w:ascii="Symbol" w:hAnsi="Symbol" w:hint="default"/>
      </w:rPr>
    </w:lvl>
    <w:lvl w:ilvl="4" w:tplc="0C0A0003" w:tentative="1">
      <w:start w:val="1"/>
      <w:numFmt w:val="bullet"/>
      <w:lvlText w:val="o"/>
      <w:lvlJc w:val="left"/>
      <w:pPr>
        <w:tabs>
          <w:tab w:val="num" w:pos="4110"/>
        </w:tabs>
        <w:ind w:left="4110" w:hanging="360"/>
      </w:pPr>
      <w:rPr>
        <w:rFonts w:ascii="Courier New" w:hAnsi="Courier New" w:cs="Courier New" w:hint="default"/>
      </w:rPr>
    </w:lvl>
    <w:lvl w:ilvl="5" w:tplc="0C0A0005" w:tentative="1">
      <w:start w:val="1"/>
      <w:numFmt w:val="bullet"/>
      <w:lvlText w:val=""/>
      <w:lvlJc w:val="left"/>
      <w:pPr>
        <w:tabs>
          <w:tab w:val="num" w:pos="4830"/>
        </w:tabs>
        <w:ind w:left="4830" w:hanging="360"/>
      </w:pPr>
      <w:rPr>
        <w:rFonts w:ascii="Wingdings" w:hAnsi="Wingdings" w:hint="default"/>
      </w:rPr>
    </w:lvl>
    <w:lvl w:ilvl="6" w:tplc="0C0A0001" w:tentative="1">
      <w:start w:val="1"/>
      <w:numFmt w:val="bullet"/>
      <w:lvlText w:val=""/>
      <w:lvlJc w:val="left"/>
      <w:pPr>
        <w:tabs>
          <w:tab w:val="num" w:pos="5550"/>
        </w:tabs>
        <w:ind w:left="5550" w:hanging="360"/>
      </w:pPr>
      <w:rPr>
        <w:rFonts w:ascii="Symbol" w:hAnsi="Symbol" w:hint="default"/>
      </w:rPr>
    </w:lvl>
    <w:lvl w:ilvl="7" w:tplc="0C0A0003" w:tentative="1">
      <w:start w:val="1"/>
      <w:numFmt w:val="bullet"/>
      <w:lvlText w:val="o"/>
      <w:lvlJc w:val="left"/>
      <w:pPr>
        <w:tabs>
          <w:tab w:val="num" w:pos="6270"/>
        </w:tabs>
        <w:ind w:left="6270" w:hanging="360"/>
      </w:pPr>
      <w:rPr>
        <w:rFonts w:ascii="Courier New" w:hAnsi="Courier New" w:cs="Courier New" w:hint="default"/>
      </w:rPr>
    </w:lvl>
    <w:lvl w:ilvl="8" w:tplc="0C0A0005" w:tentative="1">
      <w:start w:val="1"/>
      <w:numFmt w:val="bullet"/>
      <w:lvlText w:val=""/>
      <w:lvlJc w:val="left"/>
      <w:pPr>
        <w:tabs>
          <w:tab w:val="num" w:pos="6990"/>
        </w:tabs>
        <w:ind w:left="6990" w:hanging="360"/>
      </w:pPr>
      <w:rPr>
        <w:rFonts w:ascii="Wingdings" w:hAnsi="Wingdings" w:hint="default"/>
      </w:rPr>
    </w:lvl>
  </w:abstractNum>
  <w:abstractNum w:abstractNumId="5">
    <w:nsid w:val="2D3572FE"/>
    <w:multiLevelType w:val="hybridMultilevel"/>
    <w:tmpl w:val="787A6AC4"/>
    <w:lvl w:ilvl="0" w:tplc="ECD2C620">
      <w:start w:val="1"/>
      <w:numFmt w:val="decimal"/>
      <w:lvlText w:val="%1."/>
      <w:lvlJc w:val="left"/>
      <w:pPr>
        <w:tabs>
          <w:tab w:val="num" w:pos="360"/>
        </w:tabs>
        <w:ind w:left="360" w:firstLine="0"/>
      </w:pPr>
      <w:rPr>
        <w:rFonts w:ascii="Calibri" w:hAnsi="Calibri"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58555E"/>
    <w:multiLevelType w:val="hybridMultilevel"/>
    <w:tmpl w:val="F4340D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AAF156A"/>
    <w:multiLevelType w:val="multilevel"/>
    <w:tmpl w:val="057E06C8"/>
    <w:lvl w:ilvl="0">
      <w:numFmt w:val="decimal"/>
      <w:lvlText w:val="%1."/>
      <w:lvlJc w:val="left"/>
      <w:pPr>
        <w:tabs>
          <w:tab w:val="num" w:pos="360"/>
        </w:tabs>
        <w:ind w:left="360" w:firstLine="0"/>
      </w:pPr>
      <w:rPr>
        <w:rFonts w:ascii="Calibri" w:hAnsi="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887D5B"/>
    <w:multiLevelType w:val="hybridMultilevel"/>
    <w:tmpl w:val="E716EF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10D47EE"/>
    <w:multiLevelType w:val="hybridMultilevel"/>
    <w:tmpl w:val="2E90DAB2"/>
    <w:lvl w:ilvl="0" w:tplc="0C0A0019">
      <w:start w:val="1"/>
      <w:numFmt w:val="lowerLetter"/>
      <w:lvlText w:val="%1."/>
      <w:lvlJc w:val="left"/>
      <w:pPr>
        <w:tabs>
          <w:tab w:val="num" w:pos="720"/>
        </w:tabs>
        <w:ind w:left="720" w:hanging="360"/>
      </w:pPr>
      <w:rPr>
        <w:rFonts w:hint="default"/>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0">
    <w:nsid w:val="52234440"/>
    <w:multiLevelType w:val="multilevel"/>
    <w:tmpl w:val="83EC9A0E"/>
    <w:lvl w:ilvl="0">
      <w:start w:val="1"/>
      <w:numFmt w:val="decimal"/>
      <w:lvlText w:val="%1."/>
      <w:lvlJc w:val="left"/>
      <w:pPr>
        <w:tabs>
          <w:tab w:val="num" w:pos="510"/>
        </w:tabs>
        <w:ind w:left="510" w:firstLine="0"/>
      </w:pPr>
      <w:rPr>
        <w:rFonts w:ascii="Calibri" w:hAnsi="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9997AC5"/>
    <w:multiLevelType w:val="singleLevel"/>
    <w:tmpl w:val="978AF684"/>
    <w:lvl w:ilvl="0">
      <w:start w:val="1"/>
      <w:numFmt w:val="lowerLetter"/>
      <w:lvlText w:val="%1."/>
      <w:lvlJc w:val="left"/>
      <w:pPr>
        <w:tabs>
          <w:tab w:val="num" w:pos="360"/>
        </w:tabs>
        <w:ind w:left="360" w:hanging="360"/>
      </w:pPr>
    </w:lvl>
  </w:abstractNum>
  <w:abstractNum w:abstractNumId="12">
    <w:nsid w:val="5B1F73E3"/>
    <w:multiLevelType w:val="hybridMultilevel"/>
    <w:tmpl w:val="568CAD10"/>
    <w:lvl w:ilvl="0" w:tplc="0C0A0019">
      <w:start w:val="1"/>
      <w:numFmt w:val="lowerLetter"/>
      <w:lvlText w:val="%1."/>
      <w:lvlJc w:val="left"/>
      <w:pPr>
        <w:tabs>
          <w:tab w:val="num" w:pos="720"/>
        </w:tabs>
        <w:ind w:left="720" w:hanging="360"/>
      </w:pPr>
      <w:rPr>
        <w:rFonts w:hint="default"/>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3">
    <w:nsid w:val="5CDE080C"/>
    <w:multiLevelType w:val="hybridMultilevel"/>
    <w:tmpl w:val="519AFC28"/>
    <w:lvl w:ilvl="0" w:tplc="290E4FBE">
      <w:start w:val="1"/>
      <w:numFmt w:val="decimal"/>
      <w:lvlText w:val="%1."/>
      <w:lvlJc w:val="left"/>
      <w:pPr>
        <w:tabs>
          <w:tab w:val="num" w:pos="720"/>
        </w:tabs>
        <w:ind w:left="720" w:hanging="360"/>
      </w:pPr>
      <w:rPr>
        <w:rFonts w:ascii="Book Antiqua" w:eastAsia="Times New Roman" w:hAnsi="Book Antiqua" w:cs="Courier New"/>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4">
    <w:nsid w:val="5FA62215"/>
    <w:multiLevelType w:val="hybridMultilevel"/>
    <w:tmpl w:val="45C86252"/>
    <w:lvl w:ilvl="0" w:tplc="0C0A0019">
      <w:start w:val="1"/>
      <w:numFmt w:val="lowerLetter"/>
      <w:lvlText w:val="%1."/>
      <w:lvlJc w:val="left"/>
      <w:pPr>
        <w:tabs>
          <w:tab w:val="num" w:pos="720"/>
        </w:tabs>
        <w:ind w:left="720" w:hanging="360"/>
      </w:pPr>
      <w:rPr>
        <w:rFonts w:hint="default"/>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5">
    <w:nsid w:val="68124D82"/>
    <w:multiLevelType w:val="hybridMultilevel"/>
    <w:tmpl w:val="29A0272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755F1B"/>
    <w:multiLevelType w:val="hybridMultilevel"/>
    <w:tmpl w:val="CF466BA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C3C18BE"/>
    <w:multiLevelType w:val="hybridMultilevel"/>
    <w:tmpl w:val="7D8CF34E"/>
    <w:lvl w:ilvl="0" w:tplc="7DACA4E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5342606"/>
    <w:multiLevelType w:val="hybridMultilevel"/>
    <w:tmpl w:val="E1AC3A38"/>
    <w:lvl w:ilvl="0" w:tplc="0C0A0019">
      <w:start w:val="1"/>
      <w:numFmt w:val="lowerLetter"/>
      <w:lvlText w:val="%1."/>
      <w:lvlJc w:val="left"/>
      <w:pPr>
        <w:tabs>
          <w:tab w:val="num" w:pos="720"/>
        </w:tabs>
        <w:ind w:left="720" w:hanging="360"/>
      </w:pPr>
      <w:rPr>
        <w:rFonts w:hint="default"/>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9">
    <w:nsid w:val="76421BC9"/>
    <w:multiLevelType w:val="hybridMultilevel"/>
    <w:tmpl w:val="7230200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6D46ED1"/>
    <w:multiLevelType w:val="singleLevel"/>
    <w:tmpl w:val="5BCE4210"/>
    <w:lvl w:ilvl="0">
      <w:start w:val="1"/>
      <w:numFmt w:val="decimal"/>
      <w:lvlText w:val="%1."/>
      <w:lvlJc w:val="left"/>
      <w:pPr>
        <w:tabs>
          <w:tab w:val="num" w:pos="360"/>
        </w:tabs>
        <w:ind w:left="360" w:hanging="360"/>
      </w:pPr>
      <w:rPr>
        <w:b/>
        <w:i w:val="0"/>
      </w:rPr>
    </w:lvl>
  </w:abstractNum>
  <w:abstractNum w:abstractNumId="21">
    <w:nsid w:val="77F83945"/>
    <w:multiLevelType w:val="hybridMultilevel"/>
    <w:tmpl w:val="83EC9A0E"/>
    <w:lvl w:ilvl="0" w:tplc="08EA6BAA">
      <w:start w:val="1"/>
      <w:numFmt w:val="decimal"/>
      <w:lvlText w:val="%1."/>
      <w:lvlJc w:val="left"/>
      <w:pPr>
        <w:tabs>
          <w:tab w:val="num" w:pos="510"/>
        </w:tabs>
        <w:ind w:left="510" w:firstLine="0"/>
      </w:pPr>
      <w:rPr>
        <w:rFonts w:ascii="Calibri" w:hAnsi="Calibri"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855342C"/>
    <w:multiLevelType w:val="hybridMultilevel"/>
    <w:tmpl w:val="A39648D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B512C42"/>
    <w:multiLevelType w:val="hybridMultilevel"/>
    <w:tmpl w:val="B9F6B6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C4E1ED4"/>
    <w:multiLevelType w:val="hybridMultilevel"/>
    <w:tmpl w:val="21C86CF8"/>
    <w:lvl w:ilvl="0" w:tplc="3D4E527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E542451"/>
    <w:multiLevelType w:val="hybridMultilevel"/>
    <w:tmpl w:val="B25296F6"/>
    <w:lvl w:ilvl="0" w:tplc="1A8E42E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7"/>
  </w:num>
  <w:num w:numId="4">
    <w:abstractNumId w:val="6"/>
  </w:num>
  <w:num w:numId="5">
    <w:abstractNumId w:val="13"/>
  </w:num>
  <w:num w:numId="6">
    <w:abstractNumId w:val="14"/>
  </w:num>
  <w:num w:numId="7">
    <w:abstractNumId w:val="9"/>
  </w:num>
  <w:num w:numId="8">
    <w:abstractNumId w:val="24"/>
  </w:num>
  <w:num w:numId="9">
    <w:abstractNumId w:val="23"/>
  </w:num>
  <w:num w:numId="10">
    <w:abstractNumId w:val="18"/>
  </w:num>
  <w:num w:numId="11">
    <w:abstractNumId w:val="12"/>
  </w:num>
  <w:num w:numId="12">
    <w:abstractNumId w:val="15"/>
  </w:num>
  <w:num w:numId="13">
    <w:abstractNumId w:val="19"/>
  </w:num>
  <w:num w:numId="14">
    <w:abstractNumId w:val="20"/>
  </w:num>
  <w:num w:numId="15">
    <w:abstractNumId w:val="0"/>
  </w:num>
  <w:num w:numId="16">
    <w:abstractNumId w:val="22"/>
  </w:num>
  <w:num w:numId="17">
    <w:abstractNumId w:val="0"/>
  </w:num>
  <w:num w:numId="18">
    <w:abstractNumId w:val="16"/>
  </w:num>
  <w:num w:numId="19">
    <w:abstractNumId w:val="3"/>
  </w:num>
  <w:num w:numId="20">
    <w:abstractNumId w:val="2"/>
  </w:num>
  <w:num w:numId="21">
    <w:abstractNumId w:val="11"/>
  </w:num>
  <w:num w:numId="22">
    <w:abstractNumId w:val="21"/>
  </w:num>
  <w:num w:numId="23">
    <w:abstractNumId w:val="10"/>
  </w:num>
  <w:num w:numId="24">
    <w:abstractNumId w:val="1"/>
  </w:num>
  <w:num w:numId="25">
    <w:abstractNumId w:val="7"/>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11266"/>
    <o:shapelayout v:ext="edit">
      <o:idmap v:ext="edit" data="2"/>
    </o:shapelayout>
  </w:hdrShapeDefaults>
  <w:footnotePr>
    <w:numStart w:val="3"/>
    <w:footnote w:id="0"/>
    <w:footnote w:id="1"/>
  </w:footnotePr>
  <w:endnotePr>
    <w:endnote w:id="0"/>
    <w:endnote w:id="1"/>
  </w:endnotePr>
  <w:compat/>
  <w:rsids>
    <w:rsidRoot w:val="003A62A1"/>
    <w:rsid w:val="00001120"/>
    <w:rsid w:val="000025EA"/>
    <w:rsid w:val="000052A1"/>
    <w:rsid w:val="0001515C"/>
    <w:rsid w:val="0001774C"/>
    <w:rsid w:val="00032ADE"/>
    <w:rsid w:val="00043A96"/>
    <w:rsid w:val="00051D9D"/>
    <w:rsid w:val="0005361E"/>
    <w:rsid w:val="000544E7"/>
    <w:rsid w:val="0007363D"/>
    <w:rsid w:val="00095FC3"/>
    <w:rsid w:val="000A26EB"/>
    <w:rsid w:val="000A4135"/>
    <w:rsid w:val="000C11F4"/>
    <w:rsid w:val="000E157F"/>
    <w:rsid w:val="000E40AC"/>
    <w:rsid w:val="000E6C11"/>
    <w:rsid w:val="001001C7"/>
    <w:rsid w:val="001078F7"/>
    <w:rsid w:val="00110553"/>
    <w:rsid w:val="001106B6"/>
    <w:rsid w:val="00114456"/>
    <w:rsid w:val="001161FD"/>
    <w:rsid w:val="00117273"/>
    <w:rsid w:val="00121B96"/>
    <w:rsid w:val="00121D98"/>
    <w:rsid w:val="001224E0"/>
    <w:rsid w:val="00123F75"/>
    <w:rsid w:val="00125AE6"/>
    <w:rsid w:val="00135757"/>
    <w:rsid w:val="001409EB"/>
    <w:rsid w:val="0015215E"/>
    <w:rsid w:val="00162F8D"/>
    <w:rsid w:val="001632CA"/>
    <w:rsid w:val="00166C93"/>
    <w:rsid w:val="00177EB8"/>
    <w:rsid w:val="00181AB0"/>
    <w:rsid w:val="00182EFE"/>
    <w:rsid w:val="001B26D0"/>
    <w:rsid w:val="001B3089"/>
    <w:rsid w:val="001B3A32"/>
    <w:rsid w:val="001B458A"/>
    <w:rsid w:val="001B724C"/>
    <w:rsid w:val="001C441C"/>
    <w:rsid w:val="001D094D"/>
    <w:rsid w:val="001D2982"/>
    <w:rsid w:val="001D2D93"/>
    <w:rsid w:val="001D3DDA"/>
    <w:rsid w:val="001D568B"/>
    <w:rsid w:val="001D7B8F"/>
    <w:rsid w:val="001E196D"/>
    <w:rsid w:val="001F1936"/>
    <w:rsid w:val="001F2749"/>
    <w:rsid w:val="001F2759"/>
    <w:rsid w:val="001F5747"/>
    <w:rsid w:val="001F687A"/>
    <w:rsid w:val="002041AE"/>
    <w:rsid w:val="00206532"/>
    <w:rsid w:val="002071EA"/>
    <w:rsid w:val="0021069C"/>
    <w:rsid w:val="00213ACC"/>
    <w:rsid w:val="00225069"/>
    <w:rsid w:val="00244AB1"/>
    <w:rsid w:val="0024546E"/>
    <w:rsid w:val="00254660"/>
    <w:rsid w:val="00264B45"/>
    <w:rsid w:val="00265ECC"/>
    <w:rsid w:val="00287DBB"/>
    <w:rsid w:val="002905E5"/>
    <w:rsid w:val="00291646"/>
    <w:rsid w:val="00293D8B"/>
    <w:rsid w:val="00297C01"/>
    <w:rsid w:val="002B15DA"/>
    <w:rsid w:val="002B607E"/>
    <w:rsid w:val="002C2A06"/>
    <w:rsid w:val="002C6F5D"/>
    <w:rsid w:val="002E5A3F"/>
    <w:rsid w:val="002F08B2"/>
    <w:rsid w:val="002F1417"/>
    <w:rsid w:val="00300A2A"/>
    <w:rsid w:val="003046A2"/>
    <w:rsid w:val="0031078B"/>
    <w:rsid w:val="00312C46"/>
    <w:rsid w:val="0032244D"/>
    <w:rsid w:val="00326145"/>
    <w:rsid w:val="00326893"/>
    <w:rsid w:val="00347725"/>
    <w:rsid w:val="00355FEF"/>
    <w:rsid w:val="00370596"/>
    <w:rsid w:val="00371875"/>
    <w:rsid w:val="00371C06"/>
    <w:rsid w:val="00373383"/>
    <w:rsid w:val="0037436C"/>
    <w:rsid w:val="00377028"/>
    <w:rsid w:val="00377C26"/>
    <w:rsid w:val="00382E81"/>
    <w:rsid w:val="00387D16"/>
    <w:rsid w:val="003978A5"/>
    <w:rsid w:val="003A62A1"/>
    <w:rsid w:val="003B0255"/>
    <w:rsid w:val="003D0964"/>
    <w:rsid w:val="003D49DF"/>
    <w:rsid w:val="003D5CDE"/>
    <w:rsid w:val="003E1701"/>
    <w:rsid w:val="003E2789"/>
    <w:rsid w:val="003F5091"/>
    <w:rsid w:val="00401F8E"/>
    <w:rsid w:val="004035DE"/>
    <w:rsid w:val="00406236"/>
    <w:rsid w:val="0042023B"/>
    <w:rsid w:val="004261F8"/>
    <w:rsid w:val="00442D39"/>
    <w:rsid w:val="00447F5D"/>
    <w:rsid w:val="00457461"/>
    <w:rsid w:val="00463415"/>
    <w:rsid w:val="00463EA0"/>
    <w:rsid w:val="0047239F"/>
    <w:rsid w:val="00474907"/>
    <w:rsid w:val="004767BC"/>
    <w:rsid w:val="004970D5"/>
    <w:rsid w:val="004A0638"/>
    <w:rsid w:val="004B002E"/>
    <w:rsid w:val="004D026F"/>
    <w:rsid w:val="004D5E96"/>
    <w:rsid w:val="004E2A86"/>
    <w:rsid w:val="004F0BEF"/>
    <w:rsid w:val="004F0E6F"/>
    <w:rsid w:val="004F1E8D"/>
    <w:rsid w:val="004F7597"/>
    <w:rsid w:val="005010AE"/>
    <w:rsid w:val="005048A6"/>
    <w:rsid w:val="005067F5"/>
    <w:rsid w:val="00513E8F"/>
    <w:rsid w:val="00516C40"/>
    <w:rsid w:val="00521AB3"/>
    <w:rsid w:val="005260E3"/>
    <w:rsid w:val="005353F9"/>
    <w:rsid w:val="00542E92"/>
    <w:rsid w:val="00564244"/>
    <w:rsid w:val="00577190"/>
    <w:rsid w:val="00577FC3"/>
    <w:rsid w:val="00590666"/>
    <w:rsid w:val="005A4C4B"/>
    <w:rsid w:val="005A664E"/>
    <w:rsid w:val="005A78A4"/>
    <w:rsid w:val="005B67AD"/>
    <w:rsid w:val="005B7362"/>
    <w:rsid w:val="005C199C"/>
    <w:rsid w:val="005C5C34"/>
    <w:rsid w:val="005D0B11"/>
    <w:rsid w:val="005E5864"/>
    <w:rsid w:val="00602AF9"/>
    <w:rsid w:val="0061775F"/>
    <w:rsid w:val="00642505"/>
    <w:rsid w:val="00646365"/>
    <w:rsid w:val="00650049"/>
    <w:rsid w:val="00655B43"/>
    <w:rsid w:val="00660DEB"/>
    <w:rsid w:val="00661F81"/>
    <w:rsid w:val="006667BF"/>
    <w:rsid w:val="00672A1E"/>
    <w:rsid w:val="0067379A"/>
    <w:rsid w:val="0068045B"/>
    <w:rsid w:val="00691B51"/>
    <w:rsid w:val="00694E1E"/>
    <w:rsid w:val="006A6A85"/>
    <w:rsid w:val="006A6C8F"/>
    <w:rsid w:val="006D4317"/>
    <w:rsid w:val="006D682D"/>
    <w:rsid w:val="006D7B86"/>
    <w:rsid w:val="006E37F8"/>
    <w:rsid w:val="006E7FC2"/>
    <w:rsid w:val="00705393"/>
    <w:rsid w:val="007123E1"/>
    <w:rsid w:val="00713BE9"/>
    <w:rsid w:val="00713F03"/>
    <w:rsid w:val="00717C44"/>
    <w:rsid w:val="00730C7C"/>
    <w:rsid w:val="007445D2"/>
    <w:rsid w:val="00761593"/>
    <w:rsid w:val="007617B2"/>
    <w:rsid w:val="007656F7"/>
    <w:rsid w:val="007771B5"/>
    <w:rsid w:val="007821F7"/>
    <w:rsid w:val="0079091F"/>
    <w:rsid w:val="00790F3F"/>
    <w:rsid w:val="00792766"/>
    <w:rsid w:val="007927DF"/>
    <w:rsid w:val="00793885"/>
    <w:rsid w:val="007A09FC"/>
    <w:rsid w:val="007A472B"/>
    <w:rsid w:val="007A6A24"/>
    <w:rsid w:val="007B031B"/>
    <w:rsid w:val="007B1CA6"/>
    <w:rsid w:val="007C27CE"/>
    <w:rsid w:val="007D3B6F"/>
    <w:rsid w:val="007D5D04"/>
    <w:rsid w:val="007E0F4F"/>
    <w:rsid w:val="007E664C"/>
    <w:rsid w:val="007F55CB"/>
    <w:rsid w:val="007F7205"/>
    <w:rsid w:val="007F7975"/>
    <w:rsid w:val="008007B0"/>
    <w:rsid w:val="0080639A"/>
    <w:rsid w:val="008150B1"/>
    <w:rsid w:val="008163FF"/>
    <w:rsid w:val="008168E3"/>
    <w:rsid w:val="00820A3B"/>
    <w:rsid w:val="008266A1"/>
    <w:rsid w:val="008266FE"/>
    <w:rsid w:val="0083345B"/>
    <w:rsid w:val="0083691A"/>
    <w:rsid w:val="0084576A"/>
    <w:rsid w:val="00846C0F"/>
    <w:rsid w:val="00846D68"/>
    <w:rsid w:val="0085158B"/>
    <w:rsid w:val="008540D3"/>
    <w:rsid w:val="00856F8C"/>
    <w:rsid w:val="0086034C"/>
    <w:rsid w:val="00877A6B"/>
    <w:rsid w:val="0089507B"/>
    <w:rsid w:val="00897BEA"/>
    <w:rsid w:val="008A0991"/>
    <w:rsid w:val="008B5B8A"/>
    <w:rsid w:val="008B78E7"/>
    <w:rsid w:val="008C1F94"/>
    <w:rsid w:val="008D6BB8"/>
    <w:rsid w:val="008D7FC4"/>
    <w:rsid w:val="008E09A2"/>
    <w:rsid w:val="008F60A5"/>
    <w:rsid w:val="008F6469"/>
    <w:rsid w:val="008F6C73"/>
    <w:rsid w:val="00904BB3"/>
    <w:rsid w:val="00916281"/>
    <w:rsid w:val="00921DF2"/>
    <w:rsid w:val="00923507"/>
    <w:rsid w:val="0093322D"/>
    <w:rsid w:val="00940117"/>
    <w:rsid w:val="0094662E"/>
    <w:rsid w:val="00953B6C"/>
    <w:rsid w:val="00965674"/>
    <w:rsid w:val="00970D4E"/>
    <w:rsid w:val="0097307C"/>
    <w:rsid w:val="00976E28"/>
    <w:rsid w:val="00984F63"/>
    <w:rsid w:val="009859A0"/>
    <w:rsid w:val="009907AF"/>
    <w:rsid w:val="009B668E"/>
    <w:rsid w:val="009B7EC0"/>
    <w:rsid w:val="009D097F"/>
    <w:rsid w:val="009D3715"/>
    <w:rsid w:val="009D5E6D"/>
    <w:rsid w:val="009E0B5C"/>
    <w:rsid w:val="009E1C78"/>
    <w:rsid w:val="009F0990"/>
    <w:rsid w:val="00A35FB4"/>
    <w:rsid w:val="00A36C25"/>
    <w:rsid w:val="00A83E77"/>
    <w:rsid w:val="00A97F88"/>
    <w:rsid w:val="00AA45F1"/>
    <w:rsid w:val="00AA5575"/>
    <w:rsid w:val="00AB172A"/>
    <w:rsid w:val="00AB308C"/>
    <w:rsid w:val="00AB5DCB"/>
    <w:rsid w:val="00AC62E3"/>
    <w:rsid w:val="00AD76D1"/>
    <w:rsid w:val="00AF036C"/>
    <w:rsid w:val="00AF1DEC"/>
    <w:rsid w:val="00AF418A"/>
    <w:rsid w:val="00AF7223"/>
    <w:rsid w:val="00B04077"/>
    <w:rsid w:val="00B07B68"/>
    <w:rsid w:val="00B1146E"/>
    <w:rsid w:val="00B224D6"/>
    <w:rsid w:val="00B276B7"/>
    <w:rsid w:val="00B36152"/>
    <w:rsid w:val="00B4363A"/>
    <w:rsid w:val="00B5099C"/>
    <w:rsid w:val="00B60E3A"/>
    <w:rsid w:val="00B6170E"/>
    <w:rsid w:val="00B66933"/>
    <w:rsid w:val="00B678E3"/>
    <w:rsid w:val="00B74A90"/>
    <w:rsid w:val="00B74ECD"/>
    <w:rsid w:val="00B76D49"/>
    <w:rsid w:val="00B81D9C"/>
    <w:rsid w:val="00B91161"/>
    <w:rsid w:val="00B93797"/>
    <w:rsid w:val="00B96ED0"/>
    <w:rsid w:val="00BA1D3E"/>
    <w:rsid w:val="00BB07C2"/>
    <w:rsid w:val="00BC76CC"/>
    <w:rsid w:val="00BD063C"/>
    <w:rsid w:val="00BD2D85"/>
    <w:rsid w:val="00BD6376"/>
    <w:rsid w:val="00BD683D"/>
    <w:rsid w:val="00BE03FB"/>
    <w:rsid w:val="00BE1528"/>
    <w:rsid w:val="00BE29E0"/>
    <w:rsid w:val="00BE4BE0"/>
    <w:rsid w:val="00C015D0"/>
    <w:rsid w:val="00C032B9"/>
    <w:rsid w:val="00C50DDA"/>
    <w:rsid w:val="00C52254"/>
    <w:rsid w:val="00C54E29"/>
    <w:rsid w:val="00C66C38"/>
    <w:rsid w:val="00C70AE6"/>
    <w:rsid w:val="00C72253"/>
    <w:rsid w:val="00C72E10"/>
    <w:rsid w:val="00C747C1"/>
    <w:rsid w:val="00C81B97"/>
    <w:rsid w:val="00C84E85"/>
    <w:rsid w:val="00C929FD"/>
    <w:rsid w:val="00CB558A"/>
    <w:rsid w:val="00CC0287"/>
    <w:rsid w:val="00CC7DE1"/>
    <w:rsid w:val="00CD3325"/>
    <w:rsid w:val="00CD4594"/>
    <w:rsid w:val="00CD478E"/>
    <w:rsid w:val="00CF10EF"/>
    <w:rsid w:val="00D013DF"/>
    <w:rsid w:val="00D061D8"/>
    <w:rsid w:val="00D071A6"/>
    <w:rsid w:val="00D12610"/>
    <w:rsid w:val="00D150B8"/>
    <w:rsid w:val="00D16B8C"/>
    <w:rsid w:val="00D175BB"/>
    <w:rsid w:val="00D20364"/>
    <w:rsid w:val="00D21A59"/>
    <w:rsid w:val="00D40574"/>
    <w:rsid w:val="00D50E35"/>
    <w:rsid w:val="00D62353"/>
    <w:rsid w:val="00D624B1"/>
    <w:rsid w:val="00D63DE6"/>
    <w:rsid w:val="00D6688B"/>
    <w:rsid w:val="00D70D9F"/>
    <w:rsid w:val="00D73A21"/>
    <w:rsid w:val="00D7795B"/>
    <w:rsid w:val="00D803E6"/>
    <w:rsid w:val="00D81756"/>
    <w:rsid w:val="00D82D17"/>
    <w:rsid w:val="00D94A19"/>
    <w:rsid w:val="00D968B1"/>
    <w:rsid w:val="00DA3FDA"/>
    <w:rsid w:val="00DA4B91"/>
    <w:rsid w:val="00DB2363"/>
    <w:rsid w:val="00DC0CC6"/>
    <w:rsid w:val="00DC2A36"/>
    <w:rsid w:val="00DC442C"/>
    <w:rsid w:val="00DC44E7"/>
    <w:rsid w:val="00DC6637"/>
    <w:rsid w:val="00DD155C"/>
    <w:rsid w:val="00DD3EE1"/>
    <w:rsid w:val="00DF0977"/>
    <w:rsid w:val="00DF10E4"/>
    <w:rsid w:val="00E02B33"/>
    <w:rsid w:val="00E176D6"/>
    <w:rsid w:val="00E24ADE"/>
    <w:rsid w:val="00E36376"/>
    <w:rsid w:val="00E366A2"/>
    <w:rsid w:val="00E434A1"/>
    <w:rsid w:val="00E47B2A"/>
    <w:rsid w:val="00E54029"/>
    <w:rsid w:val="00E72350"/>
    <w:rsid w:val="00E75479"/>
    <w:rsid w:val="00E95DA1"/>
    <w:rsid w:val="00EA3E9F"/>
    <w:rsid w:val="00EA5178"/>
    <w:rsid w:val="00EA67AE"/>
    <w:rsid w:val="00EB0188"/>
    <w:rsid w:val="00EB0680"/>
    <w:rsid w:val="00EB69D6"/>
    <w:rsid w:val="00EC7B90"/>
    <w:rsid w:val="00ED3699"/>
    <w:rsid w:val="00EF014F"/>
    <w:rsid w:val="00EF53AC"/>
    <w:rsid w:val="00F115F3"/>
    <w:rsid w:val="00F21A28"/>
    <w:rsid w:val="00F23AF8"/>
    <w:rsid w:val="00F302A1"/>
    <w:rsid w:val="00F31D1B"/>
    <w:rsid w:val="00F3244E"/>
    <w:rsid w:val="00F35549"/>
    <w:rsid w:val="00F43E18"/>
    <w:rsid w:val="00F64912"/>
    <w:rsid w:val="00F65979"/>
    <w:rsid w:val="00F67F50"/>
    <w:rsid w:val="00F82421"/>
    <w:rsid w:val="00F94422"/>
    <w:rsid w:val="00F946FE"/>
    <w:rsid w:val="00F96295"/>
    <w:rsid w:val="00FA6FB9"/>
    <w:rsid w:val="00FB1149"/>
    <w:rsid w:val="00FB6794"/>
    <w:rsid w:val="00FC1B63"/>
    <w:rsid w:val="00FC7EF2"/>
    <w:rsid w:val="00FE1FCA"/>
    <w:rsid w:val="00FF510C"/>
    <w:rsid w:val="00FF666A"/>
    <w:rsid w:val="00FF69C1"/>
    <w:rsid w:val="00FF7CF9"/>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964"/>
    <w:rPr>
      <w:rFonts w:ascii="Batang" w:hAnsi="Batang" w:cs="Courier New"/>
      <w:szCs w:val="24"/>
      <w:lang w:val="es-ES_tradnl" w:eastAsia="en-US"/>
    </w:rPr>
  </w:style>
  <w:style w:type="paragraph" w:styleId="Ttulo1">
    <w:name w:val="heading 1"/>
    <w:basedOn w:val="Normal"/>
    <w:next w:val="Normal"/>
    <w:qFormat/>
    <w:rsid w:val="00BC76CC"/>
    <w:pPr>
      <w:keepNext/>
      <w:framePr w:hSpace="141" w:wrap="around" w:vAnchor="text" w:hAnchor="margin" w:y="180"/>
      <w:jc w:val="center"/>
      <w:outlineLvl w:val="0"/>
    </w:pPr>
    <w:rPr>
      <w:rFonts w:cs="Times New Roman"/>
      <w:bCs/>
      <w:u w:val="single"/>
      <w:lang w:val="es-VE"/>
    </w:rPr>
  </w:style>
  <w:style w:type="paragraph" w:styleId="Ttulo2">
    <w:name w:val="heading 2"/>
    <w:basedOn w:val="Normal"/>
    <w:next w:val="Normal"/>
    <w:qFormat/>
    <w:rsid w:val="005C199C"/>
    <w:pPr>
      <w:keepNext/>
      <w:spacing w:before="240" w:after="60"/>
      <w:outlineLvl w:val="1"/>
    </w:pPr>
    <w:rPr>
      <w:rFonts w:ascii="Arial" w:hAnsi="Arial" w:cs="Arial"/>
      <w:b/>
      <w:bCs/>
      <w:i/>
      <w:iCs/>
      <w:sz w:val="28"/>
      <w:szCs w:val="28"/>
    </w:rPr>
  </w:style>
  <w:style w:type="paragraph" w:styleId="Ttulo6">
    <w:name w:val="heading 6"/>
    <w:basedOn w:val="Normal"/>
    <w:next w:val="Normal"/>
    <w:qFormat/>
    <w:rsid w:val="00846D68"/>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D0964"/>
    <w:pPr>
      <w:jc w:val="center"/>
    </w:pPr>
    <w:rPr>
      <w:b/>
      <w:bCs/>
    </w:rPr>
  </w:style>
  <w:style w:type="paragraph" w:styleId="Textoindependiente">
    <w:name w:val="Body Text"/>
    <w:basedOn w:val="Normal"/>
    <w:rsid w:val="003D0964"/>
    <w:pPr>
      <w:jc w:val="both"/>
    </w:pPr>
  </w:style>
  <w:style w:type="paragraph" w:styleId="Textoindependiente2">
    <w:name w:val="Body Text 2"/>
    <w:basedOn w:val="Normal"/>
    <w:rsid w:val="003D0964"/>
    <w:rPr>
      <w:rFonts w:ascii="Times New Roman" w:hAnsi="Times New Roman" w:cs="Times New Roman"/>
      <w:sz w:val="16"/>
      <w:lang w:eastAsia="es-ES"/>
    </w:rPr>
  </w:style>
  <w:style w:type="paragraph" w:styleId="Encabezado">
    <w:name w:val="header"/>
    <w:basedOn w:val="Normal"/>
    <w:rsid w:val="003D0964"/>
    <w:pPr>
      <w:tabs>
        <w:tab w:val="center" w:pos="4419"/>
        <w:tab w:val="right" w:pos="8838"/>
      </w:tabs>
    </w:pPr>
  </w:style>
  <w:style w:type="paragraph" w:styleId="Piedepgina">
    <w:name w:val="footer"/>
    <w:basedOn w:val="Normal"/>
    <w:rsid w:val="003D0964"/>
    <w:pPr>
      <w:tabs>
        <w:tab w:val="center" w:pos="4419"/>
        <w:tab w:val="right" w:pos="8838"/>
      </w:tabs>
    </w:pPr>
  </w:style>
  <w:style w:type="paragraph" w:styleId="Textoindependiente3">
    <w:name w:val="Body Text 3"/>
    <w:basedOn w:val="Normal"/>
    <w:rsid w:val="003D0964"/>
    <w:pPr>
      <w:jc w:val="both"/>
    </w:pPr>
    <w:rPr>
      <w:sz w:val="18"/>
    </w:rPr>
  </w:style>
  <w:style w:type="paragraph" w:styleId="Subttulo">
    <w:name w:val="Subtitle"/>
    <w:basedOn w:val="Normal"/>
    <w:qFormat/>
    <w:rsid w:val="00BC76CC"/>
    <w:pPr>
      <w:framePr w:hSpace="141" w:wrap="around" w:vAnchor="text" w:hAnchor="margin" w:y="180"/>
      <w:jc w:val="center"/>
    </w:pPr>
    <w:rPr>
      <w:rFonts w:cs="Times New Roman"/>
      <w:bCs/>
      <w:u w:val="single"/>
      <w:lang w:val="es-VE"/>
    </w:rPr>
  </w:style>
  <w:style w:type="character" w:styleId="Nmerodepgina">
    <w:name w:val="page number"/>
    <w:basedOn w:val="Fuentedeprrafopredeter"/>
    <w:rsid w:val="00D50E35"/>
  </w:style>
  <w:style w:type="table" w:styleId="Tablaconcuadrcula">
    <w:name w:val="Table Grid"/>
    <w:basedOn w:val="Tablanormal"/>
    <w:rsid w:val="00D70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9D097F"/>
    <w:rPr>
      <w:rFonts w:ascii="Tahoma" w:hAnsi="Tahoma" w:cs="Tahoma"/>
      <w:sz w:val="16"/>
      <w:szCs w:val="16"/>
    </w:rPr>
  </w:style>
  <w:style w:type="character" w:styleId="Hipervnculo">
    <w:name w:val="Hyperlink"/>
    <w:basedOn w:val="Fuentedeprrafopredeter"/>
    <w:rsid w:val="00904BB3"/>
    <w:rPr>
      <w:color w:val="0000FF"/>
      <w:u w:val="single"/>
    </w:rPr>
  </w:style>
  <w:style w:type="paragraph" w:styleId="Textonotapie">
    <w:name w:val="footnote text"/>
    <w:basedOn w:val="Normal"/>
    <w:semiHidden/>
    <w:rsid w:val="00E54029"/>
    <w:rPr>
      <w:szCs w:val="20"/>
    </w:rPr>
  </w:style>
  <w:style w:type="character" w:styleId="Refdenotaalpie">
    <w:name w:val="footnote reference"/>
    <w:basedOn w:val="Fuentedeprrafopredeter"/>
    <w:semiHidden/>
    <w:rsid w:val="00E54029"/>
    <w:rPr>
      <w:vertAlign w:val="superscript"/>
    </w:rPr>
  </w:style>
  <w:style w:type="paragraph" w:styleId="Listaconvietas">
    <w:name w:val="List Bullet"/>
    <w:basedOn w:val="Normal"/>
    <w:rsid w:val="00265ECC"/>
    <w:pPr>
      <w:numPr>
        <w:numId w:val="15"/>
      </w:numPr>
    </w:pPr>
  </w:style>
  <w:style w:type="paragraph" w:styleId="Textosinformato">
    <w:name w:val="Plain Text"/>
    <w:basedOn w:val="Normal"/>
    <w:rsid w:val="00291646"/>
    <w:rPr>
      <w:rFonts w:ascii="Courier New" w:hAnsi="Courier New"/>
      <w:szCs w:val="20"/>
      <w:lang w:val="es-ES"/>
    </w:rPr>
  </w:style>
</w:styles>
</file>

<file path=word/webSettings.xml><?xml version="1.0" encoding="utf-8"?>
<w:webSettings xmlns:r="http://schemas.openxmlformats.org/officeDocument/2006/relationships" xmlns:w="http://schemas.openxmlformats.org/wordprocessingml/2006/main">
  <w:divs>
    <w:div w:id="129130629">
      <w:bodyDiv w:val="1"/>
      <w:marLeft w:val="0"/>
      <w:marRight w:val="0"/>
      <w:marTop w:val="0"/>
      <w:marBottom w:val="0"/>
      <w:divBdr>
        <w:top w:val="none" w:sz="0" w:space="0" w:color="auto"/>
        <w:left w:val="none" w:sz="0" w:space="0" w:color="auto"/>
        <w:bottom w:val="none" w:sz="0" w:space="0" w:color="auto"/>
        <w:right w:val="none" w:sz="0" w:space="0" w:color="auto"/>
      </w:divBdr>
    </w:div>
    <w:div w:id="149030113">
      <w:bodyDiv w:val="1"/>
      <w:marLeft w:val="0"/>
      <w:marRight w:val="0"/>
      <w:marTop w:val="0"/>
      <w:marBottom w:val="0"/>
      <w:divBdr>
        <w:top w:val="none" w:sz="0" w:space="0" w:color="auto"/>
        <w:left w:val="none" w:sz="0" w:space="0" w:color="auto"/>
        <w:bottom w:val="none" w:sz="0" w:space="0" w:color="auto"/>
        <w:right w:val="none" w:sz="0" w:space="0" w:color="auto"/>
      </w:divBdr>
    </w:div>
    <w:div w:id="217980605">
      <w:bodyDiv w:val="1"/>
      <w:marLeft w:val="0"/>
      <w:marRight w:val="0"/>
      <w:marTop w:val="0"/>
      <w:marBottom w:val="0"/>
      <w:divBdr>
        <w:top w:val="none" w:sz="0" w:space="0" w:color="auto"/>
        <w:left w:val="none" w:sz="0" w:space="0" w:color="auto"/>
        <w:bottom w:val="none" w:sz="0" w:space="0" w:color="auto"/>
        <w:right w:val="none" w:sz="0" w:space="0" w:color="auto"/>
      </w:divBdr>
    </w:div>
    <w:div w:id="247544874">
      <w:bodyDiv w:val="1"/>
      <w:marLeft w:val="0"/>
      <w:marRight w:val="0"/>
      <w:marTop w:val="0"/>
      <w:marBottom w:val="0"/>
      <w:divBdr>
        <w:top w:val="none" w:sz="0" w:space="0" w:color="auto"/>
        <w:left w:val="none" w:sz="0" w:space="0" w:color="auto"/>
        <w:bottom w:val="none" w:sz="0" w:space="0" w:color="auto"/>
        <w:right w:val="none" w:sz="0" w:space="0" w:color="auto"/>
      </w:divBdr>
    </w:div>
    <w:div w:id="785394583">
      <w:bodyDiv w:val="1"/>
      <w:marLeft w:val="0"/>
      <w:marRight w:val="0"/>
      <w:marTop w:val="0"/>
      <w:marBottom w:val="0"/>
      <w:divBdr>
        <w:top w:val="none" w:sz="0" w:space="0" w:color="auto"/>
        <w:left w:val="none" w:sz="0" w:space="0" w:color="auto"/>
        <w:bottom w:val="none" w:sz="0" w:space="0" w:color="auto"/>
        <w:right w:val="none" w:sz="0" w:space="0" w:color="auto"/>
      </w:divBdr>
    </w:div>
    <w:div w:id="1269700792">
      <w:bodyDiv w:val="1"/>
      <w:marLeft w:val="0"/>
      <w:marRight w:val="0"/>
      <w:marTop w:val="0"/>
      <w:marBottom w:val="0"/>
      <w:divBdr>
        <w:top w:val="none" w:sz="0" w:space="0" w:color="auto"/>
        <w:left w:val="none" w:sz="0" w:space="0" w:color="auto"/>
        <w:bottom w:val="none" w:sz="0" w:space="0" w:color="auto"/>
        <w:right w:val="none" w:sz="0" w:space="0" w:color="auto"/>
      </w:divBdr>
    </w:div>
    <w:div w:id="1397505976">
      <w:bodyDiv w:val="1"/>
      <w:marLeft w:val="0"/>
      <w:marRight w:val="0"/>
      <w:marTop w:val="0"/>
      <w:marBottom w:val="0"/>
      <w:divBdr>
        <w:top w:val="none" w:sz="0" w:space="0" w:color="auto"/>
        <w:left w:val="none" w:sz="0" w:space="0" w:color="auto"/>
        <w:bottom w:val="none" w:sz="0" w:space="0" w:color="auto"/>
        <w:right w:val="none" w:sz="0" w:space="0" w:color="auto"/>
      </w:divBdr>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511874782">
      <w:bodyDiv w:val="1"/>
      <w:marLeft w:val="0"/>
      <w:marRight w:val="0"/>
      <w:marTop w:val="0"/>
      <w:marBottom w:val="0"/>
      <w:divBdr>
        <w:top w:val="none" w:sz="0" w:space="0" w:color="auto"/>
        <w:left w:val="none" w:sz="0" w:space="0" w:color="auto"/>
        <w:bottom w:val="none" w:sz="0" w:space="0" w:color="auto"/>
        <w:right w:val="none" w:sz="0" w:space="0" w:color="auto"/>
      </w:divBdr>
    </w:div>
    <w:div w:id="1886215210">
      <w:bodyDiv w:val="1"/>
      <w:marLeft w:val="0"/>
      <w:marRight w:val="0"/>
      <w:marTop w:val="0"/>
      <w:marBottom w:val="0"/>
      <w:divBdr>
        <w:top w:val="none" w:sz="0" w:space="0" w:color="auto"/>
        <w:left w:val="none" w:sz="0" w:space="0" w:color="auto"/>
        <w:bottom w:val="none" w:sz="0" w:space="0" w:color="auto"/>
        <w:right w:val="none" w:sz="0" w:space="0" w:color="auto"/>
      </w:divBdr>
    </w:div>
    <w:div w:id="1907912748">
      <w:bodyDiv w:val="1"/>
      <w:marLeft w:val="0"/>
      <w:marRight w:val="0"/>
      <w:marTop w:val="0"/>
      <w:marBottom w:val="0"/>
      <w:divBdr>
        <w:top w:val="none" w:sz="0" w:space="0" w:color="auto"/>
        <w:left w:val="none" w:sz="0" w:space="0" w:color="auto"/>
        <w:bottom w:val="none" w:sz="0" w:space="0" w:color="auto"/>
        <w:right w:val="none" w:sz="0" w:space="0" w:color="auto"/>
      </w:divBdr>
      <w:divsChild>
        <w:div w:id="46323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A035-E686-4E4D-B9B3-1B031790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3819</Words>
  <Characters>21005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Clasificación de las Partidas para Ajustar Estados Financieros por Efectos de la Inflación</vt:lpstr>
    </vt:vector>
  </TitlesOfParts>
  <Company/>
  <LinksUpToDate>false</LinksUpToDate>
  <CharactersWithSpaces>24775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Clasificación de las Partidas para Ajustar Estados Financieros por Efectos de la Inflación</dc:title>
  <dc:subject/>
  <dc:creator>WM</dc:creator>
  <cp:keywords/>
  <cp:lastModifiedBy>william mendez</cp:lastModifiedBy>
  <cp:revision>5</cp:revision>
  <cp:lastPrinted>2004-06-01T23:13:00Z</cp:lastPrinted>
  <dcterms:created xsi:type="dcterms:W3CDTF">2018-10-23T07:14:00Z</dcterms:created>
  <dcterms:modified xsi:type="dcterms:W3CDTF">2019-02-01T08:36:00Z</dcterms:modified>
</cp:coreProperties>
</file>