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EC" w:rsidRPr="00A00179" w:rsidRDefault="00A00179" w:rsidP="00DA5BB5">
      <w:pPr>
        <w:pStyle w:val="Ttulo1"/>
      </w:pPr>
      <w:bookmarkStart w:id="0" w:name="_GoBack"/>
      <w:bookmarkEnd w:id="0"/>
      <w:r w:rsidRPr="00A00179">
        <w:t xml:space="preserve">Integración Numérica con </w:t>
      </w:r>
      <w:proofErr w:type="spellStart"/>
      <w:r w:rsidRPr="00A00179">
        <w:t>Matlab</w:t>
      </w:r>
      <w:proofErr w:type="spellEnd"/>
    </w:p>
    <w:p w:rsidR="00A00179" w:rsidRPr="00A00179" w:rsidRDefault="00A00179"/>
    <w:p w:rsidR="00A00179" w:rsidRDefault="00A00179">
      <w:r w:rsidRPr="00A00179">
        <w:t>Definir una función</w:t>
      </w:r>
      <w:r>
        <w:t xml:space="preserve"> con la expresión a integrar:</w:t>
      </w:r>
    </w:p>
    <w:p w:rsidR="00A00179" w:rsidRPr="00A00179" w:rsidRDefault="00A00179">
      <w:pPr>
        <w:rPr>
          <w:rFonts w:ascii="Times New Roman" w:hAnsi="Times New Roman" w:cs="Times New Roman"/>
          <w:lang w:val="en-US"/>
        </w:rPr>
      </w:pPr>
      <w:proofErr w:type="gramStart"/>
      <w:r w:rsidRPr="00A00179">
        <w:rPr>
          <w:rFonts w:ascii="Times New Roman" w:hAnsi="Times New Roman" w:cs="Times New Roman"/>
          <w:lang w:val="en-US"/>
        </w:rPr>
        <w:t>function</w:t>
      </w:r>
      <w:proofErr w:type="gramEnd"/>
      <w:r w:rsidRPr="00A00179">
        <w:rPr>
          <w:rFonts w:ascii="Times New Roman" w:hAnsi="Times New Roman" w:cs="Times New Roman"/>
          <w:lang w:val="en-US"/>
        </w:rPr>
        <w:t xml:space="preserve"> F=</w:t>
      </w:r>
      <w:proofErr w:type="spellStart"/>
      <w:r w:rsidRPr="00A00179">
        <w:rPr>
          <w:rFonts w:ascii="Times New Roman" w:hAnsi="Times New Roman" w:cs="Times New Roman"/>
          <w:lang w:val="en-US"/>
        </w:rPr>
        <w:t>integranum</w:t>
      </w:r>
      <w:proofErr w:type="spellEnd"/>
      <w:r w:rsidRPr="00A00179">
        <w:rPr>
          <w:rFonts w:ascii="Times New Roman" w:hAnsi="Times New Roman" w:cs="Times New Roman"/>
          <w:lang w:val="en-US"/>
        </w:rPr>
        <w:t>(x)</w:t>
      </w:r>
    </w:p>
    <w:p w:rsidR="00A00179" w:rsidRPr="00A00179" w:rsidRDefault="00A00179">
      <w:pPr>
        <w:rPr>
          <w:rFonts w:ascii="Times New Roman" w:hAnsi="Times New Roman" w:cs="Times New Roman"/>
          <w:lang w:val="en-US"/>
        </w:rPr>
      </w:pPr>
      <w:r w:rsidRPr="00A00179">
        <w:rPr>
          <w:rFonts w:ascii="Times New Roman" w:hAnsi="Times New Roman" w:cs="Times New Roman"/>
          <w:lang w:val="en-US"/>
        </w:rPr>
        <w:t>F=x^2+………</w:t>
      </w:r>
    </w:p>
    <w:p w:rsidR="00A00179" w:rsidRDefault="00A00179">
      <w:pPr>
        <w:rPr>
          <w:lang w:val="en-US"/>
        </w:rPr>
      </w:pPr>
    </w:p>
    <w:p w:rsidR="00A00179" w:rsidRDefault="00A00179">
      <w:r w:rsidRPr="00A00179">
        <w:t xml:space="preserve">Luego en el programa principal se utiliza el </w:t>
      </w:r>
      <w:r>
        <w:t>com</w:t>
      </w:r>
      <w:r w:rsidRPr="00A00179">
        <w:t xml:space="preserve">ando </w:t>
      </w:r>
      <w:proofErr w:type="spellStart"/>
      <w:r w:rsidRPr="00A00179">
        <w:t>quad</w:t>
      </w:r>
      <w:proofErr w:type="spellEnd"/>
      <w:r w:rsidRPr="00A00179">
        <w:t xml:space="preserve"> conjuntamente con la función definida anteriormente</w:t>
      </w:r>
      <w:r>
        <w:t>:</w:t>
      </w:r>
    </w:p>
    <w:p w:rsidR="00A00179" w:rsidRPr="00DA5BB5" w:rsidRDefault="00A00179">
      <w:pPr>
        <w:rPr>
          <w:rFonts w:ascii="Times New Roman" w:hAnsi="Times New Roman" w:cs="Times New Roman"/>
        </w:rPr>
      </w:pPr>
      <w:r w:rsidRPr="00DA5BB5">
        <w:rPr>
          <w:rFonts w:ascii="Times New Roman" w:hAnsi="Times New Roman" w:cs="Times New Roman"/>
        </w:rPr>
        <w:t xml:space="preserve">%programa </w:t>
      </w:r>
      <w:proofErr w:type="gramStart"/>
      <w:r w:rsidRPr="00DA5BB5">
        <w:rPr>
          <w:rFonts w:ascii="Times New Roman" w:hAnsi="Times New Roman" w:cs="Times New Roman"/>
        </w:rPr>
        <w:t>principal ,</w:t>
      </w:r>
      <w:proofErr w:type="gramEnd"/>
      <w:r w:rsidRPr="00DA5BB5">
        <w:rPr>
          <w:rFonts w:ascii="Times New Roman" w:hAnsi="Times New Roman" w:cs="Times New Roman"/>
        </w:rPr>
        <w:t xml:space="preserve"> llamado a la </w:t>
      </w:r>
      <w:proofErr w:type="spellStart"/>
      <w:r w:rsidRPr="00DA5BB5">
        <w:rPr>
          <w:rFonts w:ascii="Times New Roman" w:hAnsi="Times New Roman" w:cs="Times New Roman"/>
        </w:rPr>
        <w:t>funcion</w:t>
      </w:r>
      <w:proofErr w:type="spellEnd"/>
      <w:r w:rsidRPr="00DA5BB5">
        <w:rPr>
          <w:rFonts w:ascii="Times New Roman" w:hAnsi="Times New Roman" w:cs="Times New Roman"/>
        </w:rPr>
        <w:t xml:space="preserve"> </w:t>
      </w:r>
      <w:proofErr w:type="spellStart"/>
      <w:r w:rsidRPr="00DA5BB5">
        <w:rPr>
          <w:rFonts w:ascii="Times New Roman" w:hAnsi="Times New Roman" w:cs="Times New Roman"/>
        </w:rPr>
        <w:t>quad</w:t>
      </w:r>
      <w:proofErr w:type="spellEnd"/>
    </w:p>
    <w:p w:rsidR="00A00179" w:rsidRPr="00DA5BB5" w:rsidRDefault="00A00179">
      <w:pPr>
        <w:rPr>
          <w:rFonts w:ascii="Times New Roman" w:hAnsi="Times New Roman" w:cs="Times New Roman"/>
        </w:rPr>
      </w:pPr>
      <w:r w:rsidRPr="00DA5BB5">
        <w:rPr>
          <w:rFonts w:ascii="Times New Roman" w:hAnsi="Times New Roman" w:cs="Times New Roman"/>
        </w:rPr>
        <w:t>I=</w:t>
      </w:r>
      <w:proofErr w:type="spellStart"/>
      <w:r w:rsidRPr="00DA5BB5">
        <w:rPr>
          <w:rFonts w:ascii="Times New Roman" w:hAnsi="Times New Roman" w:cs="Times New Roman"/>
        </w:rPr>
        <w:t>quad</w:t>
      </w:r>
      <w:proofErr w:type="spellEnd"/>
      <w:r w:rsidRPr="00DA5BB5">
        <w:rPr>
          <w:rFonts w:ascii="Times New Roman" w:hAnsi="Times New Roman" w:cs="Times New Roman"/>
        </w:rPr>
        <w:t>(@</w:t>
      </w:r>
      <w:proofErr w:type="spellStart"/>
      <w:r w:rsidRPr="00DA5BB5">
        <w:rPr>
          <w:rFonts w:ascii="Times New Roman" w:hAnsi="Times New Roman" w:cs="Times New Roman"/>
        </w:rPr>
        <w:t>integranum,limiteInferior,limiteSuperior</w:t>
      </w:r>
      <w:proofErr w:type="spellEnd"/>
      <w:r w:rsidRPr="00DA5BB5">
        <w:rPr>
          <w:rFonts w:ascii="Times New Roman" w:hAnsi="Times New Roman" w:cs="Times New Roman"/>
        </w:rPr>
        <w:t>)</w:t>
      </w:r>
    </w:p>
    <w:p w:rsidR="00A00179" w:rsidRDefault="00F74C8E" w:rsidP="00DA5BB5">
      <w:pPr>
        <w:pStyle w:val="Ttulo1"/>
      </w:pPr>
      <w:r>
        <w:t>Ejercicio 1</w:t>
      </w:r>
    </w:p>
    <w:p w:rsidR="00DA5BB5" w:rsidRDefault="00DA5BB5" w:rsidP="00DA5BB5">
      <w:r>
        <w:t>Dada la siguiente tabla de valores experimentales, encontrar la integral:</w:t>
      </w:r>
    </w:p>
    <w:p w:rsidR="00DA5BB5" w:rsidRPr="00DA5BB5" w:rsidRDefault="00550AF0" w:rsidP="00DA5BB5">
      <w:pPr>
        <w:rPr>
          <w:rFonts w:eastAsiaTheme="minorEastAsia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2.5</m:t>
              </m:r>
            </m:sup>
            <m:e>
              <m:r>
                <w:rPr>
                  <w:rFonts w:ascii="Cambria Math" w:hAnsi="Cambria Math"/>
                </w:rPr>
                <m:t>F(x)</m:t>
              </m:r>
            </m:e>
          </m:nary>
        </m:oMath>
      </m:oMathPara>
    </w:p>
    <w:tbl>
      <w:tblPr>
        <w:tblStyle w:val="Tablaconcuadrcula"/>
        <w:tblW w:w="0" w:type="auto"/>
        <w:tblInd w:w="3794" w:type="dxa"/>
        <w:tblLook w:val="04A0" w:firstRow="1" w:lastRow="0" w:firstColumn="1" w:lastColumn="0" w:noHBand="0" w:noVBand="1"/>
      </w:tblPr>
      <w:tblGrid>
        <w:gridCol w:w="495"/>
        <w:gridCol w:w="830"/>
      </w:tblGrid>
      <w:tr w:rsidR="00F74C8E" w:rsidTr="00F74C8E">
        <w:tc>
          <w:tcPr>
            <w:tcW w:w="0" w:type="auto"/>
            <w:vAlign w:val="bottom"/>
          </w:tcPr>
          <w:p w:rsidR="00F74C8E" w:rsidRPr="00F74C8E" w:rsidRDefault="00F74C8E" w:rsidP="00F74C8E">
            <w:pPr>
              <w:jc w:val="center"/>
              <w:rPr>
                <w:rFonts w:ascii="Cambria Math" w:hAnsi="Cambria Math"/>
                <w:i/>
              </w:rPr>
            </w:pPr>
            <w:r w:rsidRPr="00F74C8E">
              <w:rPr>
                <w:rFonts w:ascii="Cambria Math" w:hAnsi="Cambria Math"/>
                <w:i/>
              </w:rPr>
              <w:t>x</w:t>
            </w:r>
          </w:p>
        </w:tc>
        <w:tc>
          <w:tcPr>
            <w:tcW w:w="0" w:type="auto"/>
            <w:vAlign w:val="bottom"/>
          </w:tcPr>
          <w:p w:rsidR="00F74C8E" w:rsidRPr="00F74C8E" w:rsidRDefault="00F74C8E" w:rsidP="00F74C8E">
            <w:pPr>
              <w:jc w:val="center"/>
              <w:rPr>
                <w:rFonts w:ascii="Cambria Math" w:hAnsi="Cambria Math"/>
                <w:i/>
              </w:rPr>
            </w:pPr>
            <w:r w:rsidRPr="00F74C8E">
              <w:rPr>
                <w:rFonts w:ascii="Cambria Math" w:hAnsi="Cambria Math"/>
                <w:i/>
              </w:rPr>
              <w:t>F(x)</w:t>
            </w:r>
          </w:p>
        </w:tc>
      </w:tr>
      <w:tr w:rsidR="00F74C8E" w:rsidTr="00F74C8E"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1.5</w:t>
            </w:r>
          </w:p>
        </w:tc>
      </w:tr>
      <w:tr w:rsidR="00F74C8E" w:rsidTr="00F74C8E"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0.5</w:t>
            </w:r>
          </w:p>
        </w:tc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2.0</w:t>
            </w:r>
          </w:p>
        </w:tc>
      </w:tr>
      <w:tr w:rsidR="00F74C8E" w:rsidTr="00F74C8E"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1.0</w:t>
            </w:r>
          </w:p>
        </w:tc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2.0</w:t>
            </w:r>
          </w:p>
        </w:tc>
      </w:tr>
      <w:tr w:rsidR="00F74C8E" w:rsidTr="00F74C8E"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1.5</w:t>
            </w:r>
          </w:p>
        </w:tc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1.6364</w:t>
            </w:r>
          </w:p>
        </w:tc>
      </w:tr>
      <w:tr w:rsidR="00F74C8E" w:rsidTr="00F74C8E"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2.0</w:t>
            </w:r>
          </w:p>
        </w:tc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1.25</w:t>
            </w:r>
          </w:p>
        </w:tc>
      </w:tr>
      <w:tr w:rsidR="00F74C8E" w:rsidTr="00F74C8E"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2.5</w:t>
            </w:r>
          </w:p>
        </w:tc>
        <w:tc>
          <w:tcPr>
            <w:tcW w:w="0" w:type="auto"/>
            <w:vAlign w:val="bottom"/>
          </w:tcPr>
          <w:p w:rsidR="00F74C8E" w:rsidRDefault="00F74C8E" w:rsidP="00F74C8E">
            <w:pPr>
              <w:jc w:val="center"/>
            </w:pPr>
            <w:r>
              <w:t>0.9565</w:t>
            </w:r>
          </w:p>
        </w:tc>
      </w:tr>
    </w:tbl>
    <w:p w:rsidR="00DA5BB5" w:rsidRDefault="00DA5BB5" w:rsidP="00F74C8E"/>
    <w:p w:rsidR="00F74C8E" w:rsidRDefault="00F74C8E" w:rsidP="00F74C8E">
      <w:r>
        <w:t>Para calcular la integral calcule manualmente utilizando:</w:t>
      </w:r>
    </w:p>
    <w:p w:rsidR="00F74C8E" w:rsidRDefault="00F74C8E" w:rsidP="00F74C8E">
      <w:pPr>
        <w:pStyle w:val="Prrafodelista"/>
        <w:numPr>
          <w:ilvl w:val="0"/>
          <w:numId w:val="2"/>
        </w:numPr>
      </w:pPr>
      <w:r>
        <w:t>La regla trapezoidal.</w:t>
      </w:r>
    </w:p>
    <w:p w:rsidR="00F74C8E" w:rsidRDefault="00F74C8E" w:rsidP="00F74C8E">
      <w:pPr>
        <w:pStyle w:val="Prrafodelista"/>
        <w:numPr>
          <w:ilvl w:val="0"/>
          <w:numId w:val="2"/>
        </w:numPr>
      </w:pPr>
      <w:r>
        <w:t>La regla de Simpson 3/8 combina con la regla Simpson 1/3.</w:t>
      </w:r>
    </w:p>
    <w:p w:rsidR="00F74C8E" w:rsidRDefault="00F74C8E" w:rsidP="00F74C8E">
      <w:r>
        <w:t xml:space="preserve">Elabore el código de </w:t>
      </w:r>
      <w:proofErr w:type="spellStart"/>
      <w:r>
        <w:t>Matlab</w:t>
      </w:r>
      <w:proofErr w:type="spellEnd"/>
      <w:r>
        <w:t xml:space="preserve"> que permita realizar los mismos cálculos. Compare los resultados obtenidos manualmente, con lo reportado por el código escrito. Compara además con los resultados reportados utilizando el comando </w:t>
      </w:r>
      <w:proofErr w:type="spellStart"/>
      <w:r>
        <w:t>quad</w:t>
      </w:r>
      <w:proofErr w:type="spellEnd"/>
      <w:r>
        <w:t>.</w:t>
      </w:r>
    </w:p>
    <w:p w:rsidR="00F74C8E" w:rsidRDefault="00F74C8E" w:rsidP="00F74C8E">
      <w:pPr>
        <w:pStyle w:val="Ttulo1"/>
      </w:pPr>
      <w:r>
        <w:lastRenderedPageBreak/>
        <w:t>Ejercicio 2</w:t>
      </w:r>
    </w:p>
    <w:p w:rsidR="00F74C8E" w:rsidRDefault="00F21BDE" w:rsidP="00F74C8E">
      <w:r>
        <w:t xml:space="preserve">Calcule el calor necesario para elevar la temperatura de 1000g de una sustancia, desde -100 hasta </w:t>
      </w:r>
      <w:proofErr w:type="gramStart"/>
      <w:r>
        <w:t>200</w:t>
      </w:r>
      <w:r w:rsidRPr="00F21BDE">
        <w:rPr>
          <w:vertAlign w:val="superscript"/>
        </w:rPr>
        <w:t>o</w:t>
      </w:r>
      <w:r>
        <w:t>C .</w:t>
      </w:r>
      <w:proofErr w:type="gramEnd"/>
      <w:r>
        <w:t xml:space="preserve"> El calor </w:t>
      </w:r>
      <w:proofErr w:type="gramStart"/>
      <w:r>
        <w:t>especifico</w:t>
      </w:r>
      <w:proofErr w:type="gramEnd"/>
      <w:r>
        <w:t xml:space="preserve"> en función de la temperatura es el siguiente:</w:t>
      </w:r>
    </w:p>
    <w:p w:rsidR="00F21BDE" w:rsidRDefault="00F21BDE" w:rsidP="00F74C8E">
      <w:pPr>
        <w:rPr>
          <w:rFonts w:eastAsiaTheme="minorEastAsia"/>
        </w:rPr>
      </w:pPr>
      <m:oMath>
        <m:r>
          <w:rPr>
            <w:rFonts w:ascii="Cambria Math" w:hAnsi="Cambria Math"/>
          </w:rPr>
          <m:t>Cp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>=0.132+1.56×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r>
          <w:rPr>
            <w:rFonts w:ascii="Cambria Math" w:hAnsi="Cambria Math"/>
          </w:rPr>
          <m:t>T+2.64×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   </m:t>
        </m:r>
      </m:oMath>
      <w:r>
        <w:rPr>
          <w:rFonts w:eastAsiaTheme="minorEastAsia"/>
        </w:rPr>
        <w:t xml:space="preserve">[=]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cal</m:t>
            </m:r>
          </m:num>
          <m:den>
            <m:r>
              <w:rPr>
                <w:rFonts w:ascii="Cambria Math" w:eastAsiaTheme="minorEastAsia" w:hAnsi="Cambria Math"/>
              </w:rPr>
              <m:t>g °C</m:t>
            </m:r>
          </m:den>
        </m:f>
      </m:oMath>
    </w:p>
    <w:p w:rsidR="00F21BDE" w:rsidRDefault="00F21BDE" w:rsidP="00F21BDE">
      <w:r>
        <w:t>Para calcular la integral calcule manualmente utilizando:</w:t>
      </w:r>
    </w:p>
    <w:p w:rsidR="00F21BDE" w:rsidRDefault="00F21BDE" w:rsidP="00F21BDE">
      <w:pPr>
        <w:pStyle w:val="Prrafodelista"/>
        <w:numPr>
          <w:ilvl w:val="0"/>
          <w:numId w:val="2"/>
        </w:numPr>
      </w:pPr>
      <w:r>
        <w:t>Integración analítica del polinomio.</w:t>
      </w:r>
    </w:p>
    <w:p w:rsidR="00F21BDE" w:rsidRDefault="00F21BDE" w:rsidP="00F21BDE">
      <w:pPr>
        <w:pStyle w:val="Prrafodelista"/>
        <w:numPr>
          <w:ilvl w:val="0"/>
          <w:numId w:val="2"/>
        </w:numPr>
      </w:pPr>
      <w:r>
        <w:t>La regla trapezoidal.</w:t>
      </w:r>
    </w:p>
    <w:p w:rsidR="00F21BDE" w:rsidRDefault="00F21BDE" w:rsidP="00F21BDE">
      <w:pPr>
        <w:pStyle w:val="Prrafodelista"/>
        <w:numPr>
          <w:ilvl w:val="0"/>
          <w:numId w:val="2"/>
        </w:numPr>
      </w:pPr>
      <w:r>
        <w:t>La regla de Simpson 3/8 combina con la regla Simpson 1/3.</w:t>
      </w:r>
    </w:p>
    <w:p w:rsidR="00F21BDE" w:rsidRDefault="00F21BDE" w:rsidP="00F21BDE">
      <w:r>
        <w:t xml:space="preserve">Elabore el código de </w:t>
      </w:r>
      <w:proofErr w:type="spellStart"/>
      <w:r>
        <w:t>Matlab</w:t>
      </w:r>
      <w:proofErr w:type="spellEnd"/>
      <w:r>
        <w:t xml:space="preserve"> que permita realizar los mismos cálculos. Compare los resultados obtenidos manualmente, con lo reportado por el código escrito. Compara además con los resultados reportados utilizando el comando </w:t>
      </w:r>
      <w:proofErr w:type="spellStart"/>
      <w:r>
        <w:t>quad</w:t>
      </w:r>
      <w:proofErr w:type="spellEnd"/>
      <w:r>
        <w:t>.</w:t>
      </w:r>
    </w:p>
    <w:p w:rsidR="00F21BDE" w:rsidRPr="00F74C8E" w:rsidRDefault="00F21BDE" w:rsidP="00F74C8E"/>
    <w:p w:rsidR="00F74C8E" w:rsidRPr="00F74C8E" w:rsidRDefault="00F74C8E" w:rsidP="00F74C8E"/>
    <w:sectPr w:rsidR="00F74C8E" w:rsidRPr="00F74C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92"/>
    <w:multiLevelType w:val="hybridMultilevel"/>
    <w:tmpl w:val="3E3E38CC"/>
    <w:lvl w:ilvl="0" w:tplc="EBEA2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9239F"/>
    <w:multiLevelType w:val="hybridMultilevel"/>
    <w:tmpl w:val="8CA04DA2"/>
    <w:lvl w:ilvl="0" w:tplc="EFFC53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79"/>
    <w:rsid w:val="002E5B95"/>
    <w:rsid w:val="00550AF0"/>
    <w:rsid w:val="00695557"/>
    <w:rsid w:val="00A00179"/>
    <w:rsid w:val="00A927EC"/>
    <w:rsid w:val="00DA5BB5"/>
    <w:rsid w:val="00F21BDE"/>
    <w:rsid w:val="00F7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A5BB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B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4C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A5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A5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DA5BB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BB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74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7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6919-CA72-405B-B52B-72105F7AF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2012-07-18T20:42:00Z</dcterms:created>
  <dcterms:modified xsi:type="dcterms:W3CDTF">2012-07-18T20:42:00Z</dcterms:modified>
</cp:coreProperties>
</file>