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0D" w:rsidRPr="00A04F0D" w:rsidRDefault="00A04F0D" w:rsidP="00A04F0D">
      <w:pPr>
        <w:shd w:val="clear" w:color="auto" w:fill="CCCCCC"/>
        <w:spacing w:after="0" w:line="240" w:lineRule="auto"/>
        <w:rPr>
          <w:rFonts w:ascii="Verdana" w:eastAsia="Times New Roman" w:hAnsi="Verdana" w:cs="Arial"/>
          <w:b/>
          <w:bCs/>
          <w:color w:val="0033CC"/>
          <w:sz w:val="24"/>
          <w:szCs w:val="24"/>
          <w:lang w:eastAsia="es-ES"/>
        </w:rPr>
      </w:pPr>
      <w:r w:rsidRPr="00A04F0D">
        <w:rPr>
          <w:rFonts w:ascii="Verdana" w:eastAsia="Times New Roman" w:hAnsi="Verdana" w:cs="Arial"/>
          <w:b/>
          <w:bCs/>
          <w:color w:val="0033CC"/>
          <w:sz w:val="24"/>
          <w:szCs w:val="24"/>
          <w:lang w:eastAsia="es-ES"/>
        </w:rPr>
        <w:t>REGLAMENTO PARA LA SELECCION DE ASIGNATURAS</w:t>
      </w:r>
      <w:r w:rsidRPr="00A04F0D">
        <w:rPr>
          <w:rFonts w:ascii="Verdana" w:eastAsia="Times New Roman" w:hAnsi="Verdana" w:cs="Arial"/>
          <w:b/>
          <w:bCs/>
          <w:color w:val="0033CC"/>
          <w:sz w:val="24"/>
          <w:szCs w:val="24"/>
          <w:lang w:eastAsia="es-ES"/>
        </w:rPr>
        <w:br/>
        <w:t>EN LA UNIVERSIDAD DE LOS ANDES</w:t>
      </w:r>
    </w:p>
    <w:p w:rsidR="00A04F0D" w:rsidRPr="00A04F0D" w:rsidRDefault="00A04F0D" w:rsidP="00A04F0D">
      <w:pPr>
        <w:spacing w:after="0" w:line="240" w:lineRule="auto"/>
        <w:rPr>
          <w:rFonts w:ascii="Arial" w:eastAsia="Times New Roman" w:hAnsi="Arial" w:cs="Times New Roman"/>
          <w:color w:val="000000"/>
          <w:sz w:val="24"/>
          <w:szCs w:val="24"/>
          <w:lang w:eastAsia="es-ES"/>
        </w:rPr>
      </w:pPr>
    </w:p>
    <w:p w:rsidR="00A04F0D" w:rsidRPr="00A04F0D" w:rsidRDefault="00A04F0D" w:rsidP="00A04F0D">
      <w:pPr>
        <w:spacing w:after="0" w:line="240" w:lineRule="auto"/>
        <w:jc w:val="both"/>
        <w:rPr>
          <w:rFonts w:ascii="Arial" w:eastAsia="Times New Roman" w:hAnsi="Arial" w:cs="Arial"/>
          <w:sz w:val="24"/>
          <w:szCs w:val="24"/>
          <w:lang w:eastAsia="es-ES"/>
        </w:rPr>
      </w:pPr>
      <w:r w:rsidRPr="00A04F0D">
        <w:rPr>
          <w:rFonts w:ascii="Arial" w:eastAsia="Times New Roman" w:hAnsi="Arial" w:cs="Arial"/>
          <w:b/>
          <w:bCs/>
          <w:color w:val="000000"/>
          <w:sz w:val="24"/>
          <w:szCs w:val="24"/>
          <w:lang w:eastAsia="es-ES"/>
        </w:rPr>
        <w:t>Artículo 1º</w:t>
      </w:r>
      <w:r w:rsidRPr="00A04F0D">
        <w:rPr>
          <w:rFonts w:ascii="Arial" w:eastAsia="Times New Roman" w:hAnsi="Arial" w:cs="Arial"/>
          <w:color w:val="000000"/>
          <w:sz w:val="24"/>
          <w:szCs w:val="24"/>
          <w:lang w:eastAsia="es-ES"/>
        </w:rPr>
        <w:t> Tendrán derecho a la selección de asignaturas en las fechas que establezca el Consejo Universitario en cada caso, los siguientes estudiantes:</w:t>
      </w:r>
    </w:p>
    <w:p w:rsidR="00A04F0D" w:rsidRDefault="00A04F0D" w:rsidP="00A04F0D">
      <w:pPr>
        <w:spacing w:after="0" w:line="240" w:lineRule="auto"/>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t>a) Alumnos formalmente inscritos en la Universidad que seleccionaron, cursaron en el semestre inmediato anterior a la fecha de esta selección.</w:t>
      </w:r>
      <w:r w:rsidRPr="00A04F0D">
        <w:rPr>
          <w:rFonts w:ascii="Arial" w:eastAsia="Times New Roman" w:hAnsi="Arial" w:cs="Arial"/>
          <w:color w:val="000000"/>
          <w:sz w:val="24"/>
          <w:szCs w:val="24"/>
          <w:lang w:eastAsia="es-ES"/>
        </w:rPr>
        <w:br/>
        <w:t>b) Alumnos que solicitaron y les fue concedida equivalencia, reincorporación</w:t>
      </w:r>
      <w:r w:rsidRPr="00A04F0D">
        <w:rPr>
          <w:rFonts w:ascii="Arial" w:eastAsia="Times New Roman" w:hAnsi="Arial" w:cs="Arial"/>
          <w:color w:val="000000"/>
          <w:sz w:val="24"/>
          <w:szCs w:val="24"/>
          <w:lang w:eastAsia="es-ES"/>
        </w:rPr>
        <w:br/>
        <w:t>traslado en el lapso establecido</w:t>
      </w:r>
      <w:r w:rsidRPr="00A04F0D">
        <w:rPr>
          <w:rFonts w:ascii="Arial" w:eastAsia="Times New Roman" w:hAnsi="Arial" w:cs="Arial"/>
          <w:color w:val="000000"/>
          <w:sz w:val="24"/>
          <w:szCs w:val="24"/>
          <w:lang w:eastAsia="es-ES"/>
        </w:rPr>
        <w:br/>
        <w:t>c) Alumnos asignados por el CNU y que hayan formalizado su inscripción en la ULA.</w:t>
      </w:r>
    </w:p>
    <w:p w:rsidR="00A04F0D" w:rsidRPr="00A04F0D" w:rsidRDefault="00A04F0D" w:rsidP="00A04F0D">
      <w:pPr>
        <w:spacing w:after="0" w:line="240" w:lineRule="auto"/>
        <w:rPr>
          <w:rFonts w:ascii="Arial" w:eastAsia="Times New Roman" w:hAnsi="Arial" w:cs="Arial"/>
          <w:color w:val="000000"/>
          <w:sz w:val="24"/>
          <w:szCs w:val="24"/>
          <w:lang w:eastAsia="es-ES"/>
        </w:rPr>
      </w:pP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b/>
          <w:bCs/>
          <w:color w:val="000000"/>
          <w:sz w:val="24"/>
          <w:szCs w:val="24"/>
          <w:lang w:eastAsia="es-ES"/>
        </w:rPr>
        <w:t>Artículo 2°</w:t>
      </w:r>
      <w:r w:rsidRPr="00A04F0D">
        <w:rPr>
          <w:rFonts w:ascii="Arial" w:eastAsia="Times New Roman" w:hAnsi="Arial" w:cs="Arial"/>
          <w:color w:val="000000"/>
          <w:sz w:val="24"/>
          <w:szCs w:val="24"/>
          <w:lang w:eastAsia="es-ES"/>
        </w:rPr>
        <w:t> La Oficina Central de Registros Estudiantiles, a través de las Oficinas Sectoriales de Control de Estudio, proveerá al alumno de la información y material necesarios para la selección de asignaturas.</w:t>
      </w:r>
    </w:p>
    <w:p w:rsidR="00A04F0D" w:rsidRPr="00A04F0D" w:rsidRDefault="00A04F0D" w:rsidP="00A04F0D">
      <w:pPr>
        <w:spacing w:after="0" w:line="240" w:lineRule="auto"/>
        <w:jc w:val="both"/>
        <w:rPr>
          <w:rFonts w:ascii="Arial" w:eastAsia="Times New Roman" w:hAnsi="Arial" w:cs="Arial"/>
          <w:color w:val="000000"/>
          <w:sz w:val="24"/>
          <w:szCs w:val="24"/>
          <w:highlight w:val="yellow"/>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3° </w:t>
      </w:r>
      <w:r w:rsidRPr="00A04F0D">
        <w:rPr>
          <w:rFonts w:ascii="Arial" w:eastAsia="Times New Roman" w:hAnsi="Arial" w:cs="Arial"/>
          <w:color w:val="000000"/>
          <w:sz w:val="24"/>
          <w:szCs w:val="24"/>
          <w:lang w:eastAsia="es-ES"/>
        </w:rPr>
        <w:t>Al seleccionar las asignaturas es indispensable ajustarse:</w:t>
      </w:r>
    </w:p>
    <w:p w:rsidR="00A04F0D" w:rsidRDefault="00A04F0D" w:rsidP="00A04F0D">
      <w:pPr>
        <w:spacing w:after="0" w:line="240" w:lineRule="auto"/>
        <w:rPr>
          <w:rFonts w:ascii="Arial" w:eastAsia="Times New Roman" w:hAnsi="Arial" w:cs="Arial"/>
          <w:color w:val="000000"/>
          <w:sz w:val="24"/>
          <w:szCs w:val="24"/>
          <w:lang w:eastAsia="es-ES"/>
        </w:rPr>
      </w:pPr>
      <w:r w:rsidRPr="00A04F0D">
        <w:rPr>
          <w:rFonts w:ascii="Arial" w:eastAsia="Times New Roman" w:hAnsi="Arial" w:cs="Arial"/>
          <w:color w:val="000000"/>
          <w:sz w:val="24"/>
          <w:szCs w:val="24"/>
          <w:highlight w:val="yellow"/>
          <w:lang w:eastAsia="es-ES"/>
        </w:rPr>
        <w:t>a) Al régimen de prelaciones.</w:t>
      </w:r>
      <w:r w:rsidRPr="00A04F0D">
        <w:rPr>
          <w:rFonts w:ascii="Arial" w:eastAsia="Times New Roman" w:hAnsi="Arial" w:cs="Arial"/>
          <w:color w:val="000000"/>
          <w:sz w:val="24"/>
          <w:szCs w:val="24"/>
          <w:highlight w:val="yellow"/>
          <w:lang w:eastAsia="es-ES"/>
        </w:rPr>
        <w:br/>
        <w:t>b) Al máximo de créditos permitidos (22)</w:t>
      </w:r>
      <w:r w:rsidRPr="00A04F0D">
        <w:rPr>
          <w:rFonts w:ascii="Arial" w:eastAsia="Times New Roman" w:hAnsi="Arial" w:cs="Arial"/>
          <w:color w:val="000000"/>
          <w:sz w:val="24"/>
          <w:szCs w:val="24"/>
          <w:highlight w:val="yellow"/>
          <w:lang w:eastAsia="es-ES"/>
        </w:rPr>
        <w:br/>
        <w:t>c) A la no colisión de horarios.</w:t>
      </w:r>
    </w:p>
    <w:p w:rsidR="00A04F0D" w:rsidRPr="00A04F0D" w:rsidRDefault="00A04F0D" w:rsidP="00A04F0D">
      <w:pPr>
        <w:spacing w:after="0" w:line="240" w:lineRule="auto"/>
        <w:rPr>
          <w:rFonts w:ascii="Arial" w:eastAsia="Times New Roman" w:hAnsi="Arial" w:cs="Arial"/>
          <w:color w:val="000000"/>
          <w:sz w:val="24"/>
          <w:szCs w:val="24"/>
          <w:lang w:eastAsia="es-ES"/>
        </w:rPr>
      </w:pP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b/>
          <w:bCs/>
          <w:color w:val="000000"/>
          <w:sz w:val="24"/>
          <w:szCs w:val="24"/>
          <w:lang w:eastAsia="es-ES"/>
        </w:rPr>
        <w:t>Artículo 4°</w:t>
      </w:r>
      <w:r w:rsidRPr="00A04F0D">
        <w:rPr>
          <w:rFonts w:ascii="Arial" w:eastAsia="Times New Roman" w:hAnsi="Arial" w:cs="Arial"/>
          <w:color w:val="000000"/>
          <w:sz w:val="24"/>
          <w:szCs w:val="24"/>
          <w:lang w:eastAsia="es-ES"/>
        </w:rPr>
        <w:t> Los alumnos del Ciclo Básico que por el régimen de prelación no puedan tomar el máximo de créditos permitidos (22), podrán completar con materias del profesional. Sin embargo, no avanzarán en el Ciclo Profesional un número mayor de 44 créditos, mientras tengan materias pendientes del Ciclo Básico.</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5°</w:t>
      </w:r>
      <w:r w:rsidRPr="00A04F0D">
        <w:rPr>
          <w:rFonts w:ascii="Arial" w:eastAsia="Times New Roman" w:hAnsi="Arial" w:cs="Arial"/>
          <w:color w:val="000000"/>
          <w:sz w:val="24"/>
          <w:szCs w:val="24"/>
          <w:lang w:eastAsia="es-ES"/>
        </w:rPr>
        <w:t> El excedente de créditos, hasta cuatro (4), sólo autorizará a los estudiantes que no hayan sido aplazados en asignaturas del semestre inmediato anterior y a que además tengan promedio ponderado por las unidades créditos, no inferior a quince (15) puntos (sin aproximación) dejando a salvo los requisitos a) y c) del numeral 3</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t> </w:t>
      </w: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6°</w:t>
      </w:r>
      <w:r w:rsidRPr="00A04F0D">
        <w:rPr>
          <w:rFonts w:ascii="Arial" w:eastAsia="Times New Roman" w:hAnsi="Arial" w:cs="Arial"/>
          <w:color w:val="000000"/>
          <w:sz w:val="24"/>
          <w:szCs w:val="24"/>
          <w:lang w:eastAsia="es-ES"/>
        </w:rPr>
        <w:t xml:space="preserve"> El excedente de créditos, hasta seis (6), sólo se les concederá a los alumnos; a quienes les quede por aprobar para graduarse, un número de créditos no mayor de veintiocho (28), o siete materias. </w:t>
      </w:r>
      <w:r w:rsidRPr="00A04F0D">
        <w:rPr>
          <w:rFonts w:ascii="Arial" w:eastAsia="Times New Roman" w:hAnsi="Arial" w:cs="Arial"/>
          <w:color w:val="000000"/>
          <w:sz w:val="24"/>
          <w:szCs w:val="24"/>
          <w:highlight w:val="yellow"/>
          <w:lang w:eastAsia="es-ES"/>
        </w:rPr>
        <w:t>(Resolución del Consejo Universitario N° 0068 (fecha 17.01.91).</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7º</w:t>
      </w:r>
      <w:r w:rsidRPr="00A04F0D">
        <w:rPr>
          <w:rFonts w:ascii="Arial" w:eastAsia="Times New Roman" w:hAnsi="Arial" w:cs="Arial"/>
          <w:color w:val="000000"/>
          <w:sz w:val="24"/>
          <w:szCs w:val="24"/>
          <w:lang w:eastAsia="es-ES"/>
        </w:rPr>
        <w:t> Los alumnos que deseen tomar asignaturas con inscripción limitada, deberán realizar una preinscripción en las Oficinas de Control de Estudio de su respectiva Facultad, Ciclo Básico o Núcleo Universitario</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t>.</w:t>
      </w: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8° </w:t>
      </w:r>
      <w:r w:rsidRPr="00A04F0D">
        <w:rPr>
          <w:rFonts w:ascii="Arial" w:eastAsia="Times New Roman" w:hAnsi="Arial" w:cs="Arial"/>
          <w:color w:val="000000"/>
          <w:sz w:val="24"/>
          <w:szCs w:val="24"/>
          <w:lang w:eastAsia="es-ES"/>
        </w:rPr>
        <w:t>Los alumnos que se hayan inscrito por dos (2) veces en algún laboratorio y que no lo hayan cursado o aprobado, se acogerán al régimen de Libre Escolaridad.</w:t>
      </w:r>
    </w:p>
    <w:p w:rsidR="00A04F0D" w:rsidRP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9°</w:t>
      </w:r>
      <w:r w:rsidRPr="00A04F0D">
        <w:rPr>
          <w:rFonts w:ascii="Arial" w:eastAsia="Times New Roman" w:hAnsi="Arial" w:cs="Arial"/>
          <w:color w:val="000000"/>
          <w:sz w:val="24"/>
          <w:szCs w:val="24"/>
          <w:lang w:eastAsia="es-ES"/>
        </w:rPr>
        <w:t> El estudiante podrá seleccionar otra asignatura, cuando se produzca rechazo de otras asignaturas, por las siguientes causas:</w:t>
      </w:r>
    </w:p>
    <w:p w:rsidR="00A04F0D" w:rsidRPr="00A04F0D" w:rsidRDefault="00A04F0D" w:rsidP="00A04F0D">
      <w:pPr>
        <w:spacing w:after="0" w:line="240" w:lineRule="auto"/>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lastRenderedPageBreak/>
        <w:t>a) Colisión de horarios.</w:t>
      </w:r>
      <w:r w:rsidRPr="00A04F0D">
        <w:rPr>
          <w:rFonts w:ascii="Arial" w:eastAsia="Times New Roman" w:hAnsi="Arial" w:cs="Arial"/>
          <w:color w:val="000000"/>
          <w:sz w:val="24"/>
          <w:szCs w:val="24"/>
          <w:lang w:eastAsia="es-ES"/>
        </w:rPr>
        <w:br/>
        <w:t>b) Falta de plazas en las asignaturas solicitadas, siempre y cuando se cumplan requisitos contenidos en el numeral 3.</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b/>
          <w:bCs/>
          <w:color w:val="000000"/>
          <w:sz w:val="24"/>
          <w:szCs w:val="24"/>
          <w:lang w:eastAsia="es-ES"/>
        </w:rPr>
        <w:t>Artículo 10º.</w:t>
      </w:r>
      <w:r w:rsidRPr="00A04F0D">
        <w:rPr>
          <w:rFonts w:ascii="Arial" w:eastAsia="Times New Roman" w:hAnsi="Arial" w:cs="Arial"/>
          <w:color w:val="000000"/>
          <w:sz w:val="24"/>
          <w:szCs w:val="24"/>
          <w:lang w:eastAsia="es-ES"/>
        </w:rPr>
        <w:t> Una vez concluido el proceso de inscripción, se dará un lapso de ocho semanas efectivas de clase, para el retiro de materias; para dicho retiro, el alumno deberá pagar el arancel correspondiente. A quienes no efectúen el retiro en este lapso, se les considerará cursada la asignatura. (Consejo Universitario, Resolución 1124. Sesión del 14.06.83).</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t>    .</w:t>
      </w: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11º</w:t>
      </w:r>
      <w:r w:rsidRPr="00A04F0D">
        <w:rPr>
          <w:rFonts w:ascii="Arial" w:eastAsia="Times New Roman" w:hAnsi="Arial" w:cs="Arial"/>
          <w:color w:val="000000"/>
          <w:sz w:val="24"/>
          <w:szCs w:val="24"/>
          <w:lang w:eastAsia="es-ES"/>
        </w:rPr>
        <w:t> Los alumnos repitientes deberán cursar por Libre Escolaridad de acuerdo a las normas vigentes.</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12º</w:t>
      </w:r>
      <w:r w:rsidRPr="00A04F0D">
        <w:rPr>
          <w:rFonts w:ascii="Arial" w:eastAsia="Times New Roman" w:hAnsi="Arial" w:cs="Arial"/>
          <w:color w:val="000000"/>
          <w:sz w:val="24"/>
          <w:szCs w:val="24"/>
          <w:lang w:eastAsia="es-ES"/>
        </w:rPr>
        <w:t> Una vez efectuada la selección de asignaturas no se dará curso a peticiones de cambio de sección o de horario.</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13º </w:t>
      </w:r>
      <w:r w:rsidRPr="00A04F0D">
        <w:rPr>
          <w:rFonts w:ascii="Arial" w:eastAsia="Times New Roman" w:hAnsi="Arial" w:cs="Arial"/>
          <w:color w:val="000000"/>
          <w:sz w:val="24"/>
          <w:szCs w:val="24"/>
          <w:lang w:eastAsia="es-ES"/>
        </w:rPr>
        <w:t>No se permitirán inscripciones provisionales.  </w:t>
      </w:r>
    </w:p>
    <w:p w:rsidR="00A04F0D" w:rsidRP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t xml:space="preserve">  </w:t>
      </w: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14º.</w:t>
      </w:r>
      <w:r w:rsidRPr="00A04F0D">
        <w:rPr>
          <w:rFonts w:ascii="Arial" w:eastAsia="Times New Roman" w:hAnsi="Arial" w:cs="Arial"/>
          <w:color w:val="000000"/>
          <w:sz w:val="24"/>
          <w:szCs w:val="24"/>
          <w:lang w:eastAsia="es-ES"/>
        </w:rPr>
        <w:t> No habrá "INSCRIPCIONES TARDÍAS", salvo en los siguientes casos:</w:t>
      </w:r>
    </w:p>
    <w:p w:rsidR="00A04F0D" w:rsidRDefault="00A04F0D" w:rsidP="00A04F0D">
      <w:pPr>
        <w:spacing w:after="0" w:line="240" w:lineRule="auto"/>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t>a) Hospitalización del aspirante a la inscripción, debidamente comprobada por la Dirección del Instituto correspondiente.</w:t>
      </w:r>
      <w:r w:rsidRPr="00A04F0D">
        <w:rPr>
          <w:rFonts w:ascii="Arial" w:eastAsia="Times New Roman" w:hAnsi="Arial" w:cs="Arial"/>
          <w:color w:val="000000"/>
          <w:sz w:val="24"/>
          <w:szCs w:val="24"/>
          <w:lang w:eastAsia="es-ES"/>
        </w:rPr>
        <w:br/>
        <w:t> b) Muerte de un familiar en primer grado de consanguinidad o del cónyuge.</w:t>
      </w:r>
    </w:p>
    <w:p w:rsidR="00A04F0D" w:rsidRPr="00A04F0D" w:rsidRDefault="00A04F0D" w:rsidP="00A04F0D">
      <w:pPr>
        <w:spacing w:after="0" w:line="240" w:lineRule="auto"/>
        <w:jc w:val="both"/>
        <w:rPr>
          <w:rFonts w:ascii="Arial" w:eastAsia="Times New Roman" w:hAnsi="Arial" w:cs="Arial"/>
          <w:color w:val="000000"/>
          <w:sz w:val="24"/>
          <w:szCs w:val="24"/>
          <w:lang w:eastAsia="es-ES"/>
        </w:rPr>
      </w:pP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b/>
          <w:bCs/>
          <w:color w:val="000000"/>
          <w:sz w:val="24"/>
          <w:szCs w:val="24"/>
          <w:lang w:eastAsia="es-ES"/>
        </w:rPr>
        <w:t>Artículo 15º</w:t>
      </w:r>
      <w:r w:rsidRPr="00A04F0D">
        <w:rPr>
          <w:rFonts w:ascii="Arial" w:eastAsia="Times New Roman" w:hAnsi="Arial" w:cs="Arial"/>
          <w:color w:val="000000"/>
          <w:sz w:val="24"/>
          <w:szCs w:val="24"/>
          <w:lang w:eastAsia="es-ES"/>
        </w:rPr>
        <w:t>. Los errores cometidos al seleccionar las asignaturas son responsabilidad del alumno. Las Oficinas Sectoriales de Control de Estudio rectificarán, en común</w:t>
      </w:r>
      <w:r>
        <w:rPr>
          <w:rFonts w:ascii="Arial" w:eastAsia="Times New Roman" w:hAnsi="Arial" w:cs="Arial"/>
          <w:color w:val="000000"/>
          <w:sz w:val="24"/>
          <w:szCs w:val="24"/>
          <w:lang w:eastAsia="es-ES"/>
        </w:rPr>
        <w:t xml:space="preserve"> </w:t>
      </w:r>
      <w:r w:rsidRPr="00A04F0D">
        <w:rPr>
          <w:rFonts w:ascii="Arial" w:eastAsia="Times New Roman" w:hAnsi="Arial" w:cs="Arial"/>
          <w:color w:val="000000"/>
          <w:sz w:val="24"/>
          <w:szCs w:val="24"/>
          <w:lang w:eastAsia="es-ES"/>
        </w:rPr>
        <w:t>acuerdo con las unidades académicas competentes, la inscripción errada cuando los reclamos  se hagan en la fecha correspondiente y siempre que existan plazas disponibles.</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16º </w:t>
      </w:r>
      <w:r w:rsidRPr="00A04F0D">
        <w:rPr>
          <w:rFonts w:ascii="Arial" w:eastAsia="Times New Roman" w:hAnsi="Arial" w:cs="Arial"/>
          <w:color w:val="000000"/>
          <w:sz w:val="24"/>
          <w:szCs w:val="24"/>
          <w:lang w:eastAsia="es-ES"/>
        </w:rPr>
        <w:t> Se aplicarán aquellas disposiciones de los Consejos de Facultad que no colidan con estas normas.</w:t>
      </w:r>
    </w:p>
    <w:p w:rsid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b/>
          <w:bCs/>
          <w:color w:val="000000"/>
          <w:sz w:val="24"/>
          <w:szCs w:val="24"/>
          <w:lang w:eastAsia="es-ES"/>
        </w:rPr>
        <w:t>Artículo 17º </w:t>
      </w:r>
      <w:r w:rsidRPr="00A04F0D">
        <w:rPr>
          <w:rFonts w:ascii="Arial" w:eastAsia="Times New Roman" w:hAnsi="Arial" w:cs="Arial"/>
          <w:color w:val="000000"/>
          <w:sz w:val="24"/>
          <w:szCs w:val="24"/>
          <w:lang w:eastAsia="es-ES"/>
        </w:rPr>
        <w:t> Las inscripciones realizadas que violen cualquiera de las disposiciones anteriores quedarán sin efecto.</w:t>
      </w:r>
    </w:p>
    <w:p w:rsidR="00A04F0D" w:rsidRPr="00A04F0D" w:rsidRDefault="00A04F0D" w:rsidP="00A04F0D">
      <w:pPr>
        <w:spacing w:after="0" w:line="240" w:lineRule="auto"/>
        <w:jc w:val="both"/>
        <w:rPr>
          <w:rFonts w:ascii="Arial" w:eastAsia="Times New Roman" w:hAnsi="Arial" w:cs="Arial"/>
          <w:color w:val="000000"/>
          <w:sz w:val="24"/>
          <w:szCs w:val="24"/>
          <w:lang w:eastAsia="es-ES"/>
        </w:rPr>
      </w:pPr>
      <w:r w:rsidRPr="00A04F0D">
        <w:rPr>
          <w:rFonts w:ascii="Arial" w:eastAsia="Times New Roman" w:hAnsi="Arial" w:cs="Arial"/>
          <w:color w:val="000000"/>
          <w:sz w:val="24"/>
          <w:szCs w:val="24"/>
          <w:lang w:eastAsia="es-ES"/>
        </w:rPr>
        <w:br/>
      </w:r>
      <w:r w:rsidRPr="00A04F0D">
        <w:rPr>
          <w:rFonts w:ascii="Arial" w:eastAsia="Times New Roman" w:hAnsi="Arial" w:cs="Arial"/>
          <w:color w:val="000000"/>
          <w:sz w:val="24"/>
          <w:szCs w:val="24"/>
          <w:lang w:eastAsia="es-ES"/>
        </w:rPr>
        <w:br/>
        <w:t>Aprobado y promulgado por el Consejo Universitario en su sesión ordinaria celebrada el l0 de noviembre de 1977.</w:t>
      </w:r>
    </w:p>
    <w:p w:rsidR="00A04F0D" w:rsidRPr="00A04F0D" w:rsidRDefault="00A04F0D" w:rsidP="00A04F0D">
      <w:pPr>
        <w:rPr>
          <w:rFonts w:ascii="Arial" w:hAnsi="Arial" w:cs="Arial"/>
          <w:sz w:val="24"/>
          <w:szCs w:val="24"/>
        </w:rPr>
      </w:pPr>
      <w:r w:rsidRPr="00A04F0D">
        <w:rPr>
          <w:rFonts w:ascii="Arial" w:eastAsia="Times New Roman" w:hAnsi="Arial" w:cs="Arial"/>
          <w:color w:val="000000"/>
          <w:sz w:val="24"/>
          <w:szCs w:val="24"/>
          <w:lang w:eastAsia="es-ES"/>
        </w:rPr>
        <w:br/>
      </w:r>
      <w:r w:rsidRPr="00A04F0D">
        <w:rPr>
          <w:rFonts w:ascii="Arial" w:eastAsia="Times New Roman" w:hAnsi="Arial" w:cs="Arial"/>
          <w:color w:val="000000"/>
          <w:sz w:val="24"/>
          <w:szCs w:val="24"/>
          <w:lang w:eastAsia="es-ES"/>
        </w:rPr>
        <w:br/>
        <w:t>        Pedro Rincón Gutiérrez                             Leonel Vivas</w:t>
      </w:r>
      <w:r w:rsidRPr="00A04F0D">
        <w:rPr>
          <w:rFonts w:ascii="Arial" w:eastAsia="Times New Roman" w:hAnsi="Arial" w:cs="Arial"/>
          <w:color w:val="000000"/>
          <w:sz w:val="24"/>
          <w:szCs w:val="24"/>
          <w:lang w:eastAsia="es-ES"/>
        </w:rPr>
        <w:br/>
        <w:t>           Rector-Presidente                                   Secretario</w:t>
      </w:r>
    </w:p>
    <w:sectPr w:rsidR="00A04F0D" w:rsidRPr="00A04F0D" w:rsidSect="00BC13D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014" w:rsidRDefault="00805014" w:rsidP="00A04F0D">
      <w:pPr>
        <w:spacing w:after="0" w:line="240" w:lineRule="auto"/>
      </w:pPr>
      <w:r>
        <w:separator/>
      </w:r>
    </w:p>
  </w:endnote>
  <w:endnote w:type="continuationSeparator" w:id="1">
    <w:p w:rsidR="00805014" w:rsidRDefault="00805014" w:rsidP="00A04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014" w:rsidRDefault="00805014" w:rsidP="00A04F0D">
      <w:pPr>
        <w:spacing w:after="0" w:line="240" w:lineRule="auto"/>
      </w:pPr>
      <w:r>
        <w:separator/>
      </w:r>
    </w:p>
  </w:footnote>
  <w:footnote w:type="continuationSeparator" w:id="1">
    <w:p w:rsidR="00805014" w:rsidRDefault="00805014" w:rsidP="00A04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30"/>
      <w:gridCol w:w="1104"/>
    </w:tblGrid>
    <w:tr w:rsidR="00A04F0D">
      <w:trPr>
        <w:trHeight w:val="288"/>
      </w:trPr>
      <w:sdt>
        <w:sdtPr>
          <w:rPr>
            <w:rFonts w:asciiTheme="majorHAnsi" w:eastAsiaTheme="majorEastAsia" w:hAnsiTheme="majorHAnsi" w:cstheme="majorBidi"/>
            <w:sz w:val="36"/>
            <w:szCs w:val="36"/>
          </w:rPr>
          <w:alias w:val="Título"/>
          <w:id w:val="77761602"/>
          <w:placeholder>
            <w:docPart w:val="2C694B1D82A848DFB01ECF2115DC90B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04F0D" w:rsidRDefault="00A04F0D" w:rsidP="00A04F0D">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Material digitalizado por prof. Álvaro Moreno</w:t>
              </w:r>
            </w:p>
          </w:tc>
        </w:sdtContent>
      </w:sdt>
      <w:sdt>
        <w:sdtPr>
          <w:rPr>
            <w:rFonts w:asciiTheme="majorHAnsi" w:eastAsiaTheme="majorEastAsia" w:hAnsiTheme="majorHAnsi" w:cstheme="majorBidi"/>
            <w:b/>
            <w:bCs/>
            <w:color w:val="4F81BD" w:themeColor="accent1"/>
            <w:sz w:val="36"/>
            <w:szCs w:val="36"/>
          </w:rPr>
          <w:alias w:val="Año"/>
          <w:id w:val="77761609"/>
          <w:placeholder>
            <w:docPart w:val="C7D3ED2028C9488885C9D7EB5058273B"/>
          </w:placeholder>
          <w:dataBinding w:prefixMappings="xmlns:ns0='http://schemas.microsoft.com/office/2006/coverPageProps'" w:xpath="/ns0:CoverPageProperties[1]/ns0:PublishDate[1]" w:storeItemID="{55AF091B-3C7A-41E3-B477-F2FDAA23CFDA}"/>
          <w:date w:fullDate="2011-04-02T00:00:00Z">
            <w:dateFormat w:val="yyyy"/>
            <w:lid w:val="es-ES"/>
            <w:storeMappedDataAs w:val="dateTime"/>
            <w:calendar w:val="gregorian"/>
          </w:date>
        </w:sdtPr>
        <w:sdtContent>
          <w:tc>
            <w:tcPr>
              <w:tcW w:w="1105" w:type="dxa"/>
            </w:tcPr>
            <w:p w:rsidR="00A04F0D" w:rsidRDefault="00A04F0D" w:rsidP="00A04F0D">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A04F0D" w:rsidRDefault="00A04F0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04F0D"/>
    <w:rsid w:val="00805014"/>
    <w:rsid w:val="008F12EA"/>
    <w:rsid w:val="00A04F0D"/>
    <w:rsid w:val="00AF726C"/>
    <w:rsid w:val="00BC13DA"/>
    <w:rsid w:val="00E852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04F0D"/>
  </w:style>
  <w:style w:type="character" w:customStyle="1" w:styleId="apple-converted-space">
    <w:name w:val="apple-converted-space"/>
    <w:basedOn w:val="Fuentedeprrafopredeter"/>
    <w:rsid w:val="00A04F0D"/>
  </w:style>
  <w:style w:type="paragraph" w:styleId="Prrafodelista">
    <w:name w:val="List Paragraph"/>
    <w:basedOn w:val="Normal"/>
    <w:uiPriority w:val="34"/>
    <w:qFormat/>
    <w:rsid w:val="00A04F0D"/>
    <w:pPr>
      <w:ind w:left="720"/>
      <w:contextualSpacing/>
    </w:pPr>
  </w:style>
  <w:style w:type="paragraph" w:styleId="Encabezado">
    <w:name w:val="header"/>
    <w:basedOn w:val="Normal"/>
    <w:link w:val="EncabezadoCar"/>
    <w:uiPriority w:val="99"/>
    <w:unhideWhenUsed/>
    <w:rsid w:val="00A04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F0D"/>
  </w:style>
  <w:style w:type="paragraph" w:styleId="Piedepgina">
    <w:name w:val="footer"/>
    <w:basedOn w:val="Normal"/>
    <w:link w:val="PiedepginaCar"/>
    <w:uiPriority w:val="99"/>
    <w:semiHidden/>
    <w:unhideWhenUsed/>
    <w:rsid w:val="00A04F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04F0D"/>
  </w:style>
  <w:style w:type="paragraph" w:styleId="Textodeglobo">
    <w:name w:val="Balloon Text"/>
    <w:basedOn w:val="Normal"/>
    <w:link w:val="TextodegloboCar"/>
    <w:uiPriority w:val="99"/>
    <w:semiHidden/>
    <w:unhideWhenUsed/>
    <w:rsid w:val="00A04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396112">
      <w:bodyDiv w:val="1"/>
      <w:marLeft w:val="0"/>
      <w:marRight w:val="0"/>
      <w:marTop w:val="0"/>
      <w:marBottom w:val="0"/>
      <w:divBdr>
        <w:top w:val="none" w:sz="0" w:space="0" w:color="auto"/>
        <w:left w:val="none" w:sz="0" w:space="0" w:color="auto"/>
        <w:bottom w:val="none" w:sz="0" w:space="0" w:color="auto"/>
        <w:right w:val="none" w:sz="0" w:space="0" w:color="auto"/>
      </w:divBdr>
      <w:divsChild>
        <w:div w:id="773596134">
          <w:marLeft w:val="430"/>
          <w:marRight w:val="0"/>
          <w:marTop w:val="0"/>
          <w:marBottom w:val="0"/>
          <w:divBdr>
            <w:top w:val="none" w:sz="0" w:space="0" w:color="auto"/>
            <w:left w:val="none" w:sz="0" w:space="0" w:color="auto"/>
            <w:bottom w:val="none" w:sz="0" w:space="0" w:color="auto"/>
            <w:right w:val="none" w:sz="0" w:space="0" w:color="auto"/>
          </w:divBdr>
        </w:div>
      </w:divsChild>
    </w:div>
    <w:div w:id="1596010539">
      <w:bodyDiv w:val="1"/>
      <w:marLeft w:val="0"/>
      <w:marRight w:val="0"/>
      <w:marTop w:val="0"/>
      <w:marBottom w:val="0"/>
      <w:divBdr>
        <w:top w:val="none" w:sz="0" w:space="0" w:color="auto"/>
        <w:left w:val="none" w:sz="0" w:space="0" w:color="auto"/>
        <w:bottom w:val="none" w:sz="0" w:space="0" w:color="auto"/>
        <w:right w:val="none" w:sz="0" w:space="0" w:color="auto"/>
      </w:divBdr>
      <w:divsChild>
        <w:div w:id="750079761">
          <w:marLeft w:val="430"/>
          <w:marRight w:val="0"/>
          <w:marTop w:val="0"/>
          <w:marBottom w:val="0"/>
          <w:divBdr>
            <w:top w:val="none" w:sz="0" w:space="0" w:color="auto"/>
            <w:left w:val="none" w:sz="0" w:space="0" w:color="auto"/>
            <w:bottom w:val="none" w:sz="0" w:space="0" w:color="auto"/>
            <w:right w:val="none" w:sz="0" w:space="0" w:color="auto"/>
          </w:divBdr>
        </w:div>
        <w:div w:id="1669092291">
          <w:marLeft w:val="430"/>
          <w:marRight w:val="0"/>
          <w:marTop w:val="0"/>
          <w:marBottom w:val="0"/>
          <w:divBdr>
            <w:top w:val="none" w:sz="0" w:space="0" w:color="auto"/>
            <w:left w:val="none" w:sz="0" w:space="0" w:color="auto"/>
            <w:bottom w:val="none" w:sz="0" w:space="0" w:color="auto"/>
            <w:right w:val="none" w:sz="0" w:space="0" w:color="auto"/>
          </w:divBdr>
        </w:div>
        <w:div w:id="71657338">
          <w:marLeft w:val="4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694B1D82A848DFB01ECF2115DC90BD"/>
        <w:category>
          <w:name w:val="General"/>
          <w:gallery w:val="placeholder"/>
        </w:category>
        <w:types>
          <w:type w:val="bbPlcHdr"/>
        </w:types>
        <w:behaviors>
          <w:behavior w:val="content"/>
        </w:behaviors>
        <w:guid w:val="{EE86447D-17FB-483D-AA45-12E75EDCC7C4}"/>
      </w:docPartPr>
      <w:docPartBody>
        <w:p w:rsidR="00D33F7C" w:rsidRDefault="00327D21" w:rsidP="00327D21">
          <w:pPr>
            <w:pStyle w:val="2C694B1D82A848DFB01ECF2115DC90BD"/>
          </w:pPr>
          <w:r>
            <w:rPr>
              <w:rFonts w:asciiTheme="majorHAnsi" w:eastAsiaTheme="majorEastAsia" w:hAnsiTheme="majorHAnsi" w:cstheme="majorBidi"/>
              <w:sz w:val="36"/>
              <w:szCs w:val="36"/>
            </w:rPr>
            <w:t>[Escribir el título del documento]</w:t>
          </w:r>
        </w:p>
      </w:docPartBody>
    </w:docPart>
    <w:docPart>
      <w:docPartPr>
        <w:name w:val="C7D3ED2028C9488885C9D7EB5058273B"/>
        <w:category>
          <w:name w:val="General"/>
          <w:gallery w:val="placeholder"/>
        </w:category>
        <w:types>
          <w:type w:val="bbPlcHdr"/>
        </w:types>
        <w:behaviors>
          <w:behavior w:val="content"/>
        </w:behaviors>
        <w:guid w:val="{377902EB-8948-4FE9-8F68-32E62E788CA4}"/>
      </w:docPartPr>
      <w:docPartBody>
        <w:p w:rsidR="00D33F7C" w:rsidRDefault="00327D21" w:rsidP="00327D21">
          <w:pPr>
            <w:pStyle w:val="C7D3ED2028C9488885C9D7EB5058273B"/>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7D21"/>
    <w:rsid w:val="00327D21"/>
    <w:rsid w:val="00D33F7C"/>
    <w:rsid w:val="00F107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694B1D82A848DFB01ECF2115DC90BD">
    <w:name w:val="2C694B1D82A848DFB01ECF2115DC90BD"/>
    <w:rsid w:val="00327D21"/>
  </w:style>
  <w:style w:type="paragraph" w:customStyle="1" w:styleId="C7D3ED2028C9488885C9D7EB5058273B">
    <w:name w:val="C7D3ED2028C9488885C9D7EB5058273B"/>
    <w:rsid w:val="00327D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digitalizado por prof. Álvaro Moreno</dc:title>
  <dc:creator>alvaro</dc:creator>
  <cp:lastModifiedBy>alvaro</cp:lastModifiedBy>
  <cp:revision>2</cp:revision>
  <cp:lastPrinted>2011-04-02T12:17:00Z</cp:lastPrinted>
  <dcterms:created xsi:type="dcterms:W3CDTF">2011-04-02T12:29:00Z</dcterms:created>
  <dcterms:modified xsi:type="dcterms:W3CDTF">2011-04-02T12:29:00Z</dcterms:modified>
</cp:coreProperties>
</file>