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65" w:rsidRDefault="004F6369" w:rsidP="00FD7865">
      <w:pPr>
        <w:jc w:val="center"/>
      </w:pPr>
      <w:r>
        <w:t>UNIVERSIDAD DE LOS ANDES</w:t>
      </w:r>
    </w:p>
    <w:p w:rsidR="004F6369" w:rsidRDefault="004F6369" w:rsidP="00FD7865">
      <w:pPr>
        <w:jc w:val="center"/>
      </w:pPr>
      <w:r>
        <w:t>FACULTAD DE CIENCIAS ECONOMICAS Y SOCIALES</w:t>
      </w:r>
    </w:p>
    <w:p w:rsidR="004F6369" w:rsidRDefault="004F6369" w:rsidP="00FD7865">
      <w:pPr>
        <w:jc w:val="center"/>
      </w:pPr>
      <w:r>
        <w:t>ESCUELA DE ADMINISTRACIÓN Y CONTADURÍA PÚBLICA</w:t>
      </w:r>
    </w:p>
    <w:p w:rsidR="004F6369" w:rsidRDefault="004F6369" w:rsidP="00FD7865">
      <w:pPr>
        <w:jc w:val="center"/>
      </w:pPr>
      <w:r>
        <w:t>DEPARTAMENTO DE CIENCIAS ADMINISTRATIVAS</w:t>
      </w:r>
    </w:p>
    <w:p w:rsidR="004F6369" w:rsidRDefault="004F6369" w:rsidP="00FD7865">
      <w:pPr>
        <w:jc w:val="center"/>
      </w:pPr>
      <w:r>
        <w:t xml:space="preserve">CÁTEDRA DE PRODUCCIÓN Y ANÁLISIS DE </w:t>
      </w:r>
      <w:smartTag w:uri="urn:schemas-microsoft-com:office:smarttags" w:element="PersonName">
        <w:smartTagPr>
          <w:attr w:name="ProductID" w:val="LA INVERSIÓN"/>
        </w:smartTagPr>
        <w:r>
          <w:t>LA INVERSIÓN</w:t>
        </w:r>
      </w:smartTag>
    </w:p>
    <w:p w:rsidR="004F6369" w:rsidRDefault="004F6369"/>
    <w:p w:rsidR="004F6369" w:rsidRPr="000029D0" w:rsidRDefault="000029D0" w:rsidP="000029D0">
      <w:pPr>
        <w:jc w:val="center"/>
        <w:rPr>
          <w:b/>
        </w:rPr>
      </w:pPr>
      <w:r w:rsidRPr="000029D0">
        <w:rPr>
          <w:b/>
        </w:rPr>
        <w:t>Problemas de Lote Económico</w:t>
      </w:r>
      <w:r>
        <w:rPr>
          <w:b/>
        </w:rPr>
        <w:t xml:space="preserve"> y ABC</w:t>
      </w:r>
    </w:p>
    <w:p w:rsidR="000029D0" w:rsidRDefault="000029D0"/>
    <w:p w:rsidR="00FD7865" w:rsidRDefault="004F6369" w:rsidP="00FD7865">
      <w:pPr>
        <w:jc w:val="both"/>
      </w:pPr>
      <w:r>
        <w:t>1.-</w:t>
      </w:r>
      <w:r w:rsidR="00C84D4C">
        <w:t xml:space="preserve"> COMPUAMIGOS fabrica computadoras personales. Todas sus computadoras usan un lector  de discos de </w:t>
      </w:r>
      <w:smartTag w:uri="urn:schemas-microsoft-com:office:smarttags" w:element="metricconverter">
        <w:smartTagPr>
          <w:attr w:name="ProductID" w:val="3.5”"/>
        </w:smartTagPr>
        <w:r w:rsidR="00C84D4C">
          <w:t>3.5”</w:t>
        </w:r>
      </w:smartTag>
      <w:r w:rsidR="00C84D4C">
        <w:t xml:space="preserve"> de alta </w:t>
      </w:r>
      <w:r w:rsidR="00C46B51">
        <w:t>densidad</w:t>
      </w:r>
      <w:r w:rsidR="00C84D4C">
        <w:t xml:space="preserve"> que compra a un determinado proveedor de partes computacionales. </w:t>
      </w:r>
      <w:r w:rsidR="00C46B51">
        <w:t xml:space="preserve">Opera 52 semanas al año y requiere ensamblar 100 lectores en las computadoras por semana. </w:t>
      </w:r>
      <w:r w:rsidR="00FD7865">
        <w:t>La tasa de costo por mantener es igual al 20% del valor del inventario (basado en el costo de compra). Sin importar el tamaño de la orden, el costo  administrativo de colocar órdenes con el proveedor  se estima en Bs. 0</w:t>
      </w:r>
      <w:r w:rsidR="00A26268">
        <w:t>,15</w:t>
      </w:r>
      <w:r w:rsidR="00FD7865">
        <w:t>. Dicho proveedor ofrece un descuento por cantidad para órdenes grandes donde le precio de cada categoría se aplica a todos a todos los lectores comprados.</w:t>
      </w:r>
      <w:r w:rsidR="00C84D4C">
        <w:t xml:space="preserve">  </w:t>
      </w:r>
    </w:p>
    <w:p w:rsidR="00FD7865" w:rsidRPr="00FD7865" w:rsidRDefault="00FD7865" w:rsidP="00FD78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1"/>
        <w:gridCol w:w="2881"/>
        <w:gridCol w:w="2882"/>
      </w:tblGrid>
      <w:tr w:rsidR="00FD7865" w:rsidRPr="000029D0" w:rsidTr="000029D0">
        <w:tc>
          <w:tcPr>
            <w:tcW w:w="2881" w:type="dxa"/>
          </w:tcPr>
          <w:p w:rsidR="00FD7865" w:rsidRPr="000029D0" w:rsidRDefault="00FD7865" w:rsidP="000029D0">
            <w:pPr>
              <w:jc w:val="center"/>
              <w:rPr>
                <w:b/>
              </w:rPr>
            </w:pPr>
            <w:r w:rsidRPr="000029D0">
              <w:rPr>
                <w:b/>
              </w:rPr>
              <w:t>Categoría de descuento</w:t>
            </w:r>
          </w:p>
        </w:tc>
        <w:tc>
          <w:tcPr>
            <w:tcW w:w="2881" w:type="dxa"/>
          </w:tcPr>
          <w:p w:rsidR="00FD7865" w:rsidRPr="000029D0" w:rsidRDefault="00FD7865" w:rsidP="000029D0">
            <w:pPr>
              <w:jc w:val="center"/>
              <w:rPr>
                <w:b/>
              </w:rPr>
            </w:pPr>
            <w:r w:rsidRPr="000029D0">
              <w:rPr>
                <w:b/>
              </w:rPr>
              <w:t>Cantidad comprada</w:t>
            </w:r>
          </w:p>
        </w:tc>
        <w:tc>
          <w:tcPr>
            <w:tcW w:w="2882" w:type="dxa"/>
          </w:tcPr>
          <w:p w:rsidR="00FD7865" w:rsidRPr="000029D0" w:rsidRDefault="00FD7865" w:rsidP="00965C7B">
            <w:pPr>
              <w:jc w:val="center"/>
              <w:rPr>
                <w:b/>
              </w:rPr>
            </w:pPr>
            <w:r w:rsidRPr="000029D0">
              <w:rPr>
                <w:b/>
              </w:rPr>
              <w:t xml:space="preserve">Precio (por </w:t>
            </w:r>
            <w:r w:rsidR="00965C7B">
              <w:rPr>
                <w:b/>
              </w:rPr>
              <w:t>lector</w:t>
            </w:r>
            <w:r w:rsidRPr="000029D0">
              <w:rPr>
                <w:b/>
              </w:rPr>
              <w:t>)</w:t>
            </w:r>
          </w:p>
        </w:tc>
      </w:tr>
      <w:tr w:rsidR="00FD7865" w:rsidTr="000029D0">
        <w:tc>
          <w:tcPr>
            <w:tcW w:w="2881" w:type="dxa"/>
          </w:tcPr>
          <w:p w:rsidR="00FD7865" w:rsidRDefault="00FD7865" w:rsidP="000029D0">
            <w:pPr>
              <w:jc w:val="center"/>
            </w:pPr>
            <w:r>
              <w:t>1</w:t>
            </w:r>
          </w:p>
        </w:tc>
        <w:tc>
          <w:tcPr>
            <w:tcW w:w="2881" w:type="dxa"/>
          </w:tcPr>
          <w:p w:rsidR="00FD7865" w:rsidRDefault="00FD7865" w:rsidP="000029D0">
            <w:pPr>
              <w:jc w:val="center"/>
            </w:pPr>
            <w:smartTag w:uri="urn:schemas-microsoft-com:office:smarttags" w:element="metricconverter">
              <w:smartTagPr>
                <w:attr w:name="ProductID" w:val="1 a"/>
              </w:smartTagPr>
              <w:r>
                <w:t>1 a</w:t>
              </w:r>
            </w:smartTag>
            <w:r>
              <w:t xml:space="preserve"> 49</w:t>
            </w:r>
          </w:p>
        </w:tc>
        <w:tc>
          <w:tcPr>
            <w:tcW w:w="2882" w:type="dxa"/>
          </w:tcPr>
          <w:p w:rsidR="00FD7865" w:rsidRDefault="00FD7865" w:rsidP="000029D0">
            <w:pPr>
              <w:jc w:val="center"/>
            </w:pPr>
            <w:r>
              <w:t>Bs. 4,00</w:t>
            </w:r>
          </w:p>
        </w:tc>
      </w:tr>
      <w:tr w:rsidR="00FD7865" w:rsidTr="000029D0">
        <w:tc>
          <w:tcPr>
            <w:tcW w:w="2881" w:type="dxa"/>
          </w:tcPr>
          <w:p w:rsidR="00FD7865" w:rsidRDefault="00FD7865" w:rsidP="000029D0">
            <w:pPr>
              <w:jc w:val="center"/>
            </w:pPr>
            <w:r>
              <w:t>2</w:t>
            </w:r>
          </w:p>
        </w:tc>
        <w:tc>
          <w:tcPr>
            <w:tcW w:w="2881" w:type="dxa"/>
          </w:tcPr>
          <w:p w:rsidR="00FD7865" w:rsidRDefault="00FD7865" w:rsidP="000029D0">
            <w:pPr>
              <w:jc w:val="center"/>
            </w:pPr>
            <w:smartTag w:uri="urn:schemas-microsoft-com:office:smarttags" w:element="metricconverter">
              <w:smartTagPr>
                <w:attr w:name="ProductID" w:val="50 a"/>
              </w:smartTagPr>
              <w:r>
                <w:t>50 a</w:t>
              </w:r>
            </w:smartTag>
            <w:r>
              <w:t xml:space="preserve"> 99</w:t>
            </w:r>
          </w:p>
        </w:tc>
        <w:tc>
          <w:tcPr>
            <w:tcW w:w="2882" w:type="dxa"/>
          </w:tcPr>
          <w:p w:rsidR="00FD7865" w:rsidRDefault="00FD7865" w:rsidP="000029D0">
            <w:pPr>
              <w:jc w:val="center"/>
            </w:pPr>
            <w:r>
              <w:t>Bs. 3,90</w:t>
            </w:r>
          </w:p>
        </w:tc>
      </w:tr>
      <w:tr w:rsidR="00FD7865" w:rsidTr="000029D0">
        <w:tc>
          <w:tcPr>
            <w:tcW w:w="2881" w:type="dxa"/>
          </w:tcPr>
          <w:p w:rsidR="00FD7865" w:rsidRDefault="00FD7865" w:rsidP="000029D0">
            <w:pPr>
              <w:jc w:val="center"/>
            </w:pPr>
            <w:r>
              <w:t>3</w:t>
            </w:r>
          </w:p>
        </w:tc>
        <w:tc>
          <w:tcPr>
            <w:tcW w:w="2881" w:type="dxa"/>
          </w:tcPr>
          <w:p w:rsidR="00FD7865" w:rsidRDefault="00FD7865" w:rsidP="000029D0">
            <w:pPr>
              <w:jc w:val="center"/>
            </w:pPr>
            <w:smartTag w:uri="urn:schemas-microsoft-com:office:smarttags" w:element="metricconverter">
              <w:smartTagPr>
                <w:attr w:name="ProductID" w:val="100 a"/>
              </w:smartTagPr>
              <w:r>
                <w:t>100 a</w:t>
              </w:r>
            </w:smartTag>
            <w:r>
              <w:t xml:space="preserve"> más</w:t>
            </w:r>
          </w:p>
        </w:tc>
        <w:tc>
          <w:tcPr>
            <w:tcW w:w="2882" w:type="dxa"/>
          </w:tcPr>
          <w:p w:rsidR="00FD7865" w:rsidRDefault="00FD7865" w:rsidP="000029D0">
            <w:pPr>
              <w:jc w:val="center"/>
            </w:pPr>
            <w:r>
              <w:t>Bs. 3,80</w:t>
            </w:r>
          </w:p>
        </w:tc>
      </w:tr>
    </w:tbl>
    <w:p w:rsidR="00C46B51" w:rsidRDefault="00C46B51" w:rsidP="00C46B51">
      <w:pPr>
        <w:numPr>
          <w:ilvl w:val="0"/>
          <w:numId w:val="1"/>
        </w:numPr>
        <w:jc w:val="both"/>
      </w:pPr>
      <w:r>
        <w:t>Determine la cantidad óptima por ordenar considerando y no considerando descuentos.</w:t>
      </w:r>
      <w:r w:rsidR="00912105">
        <w:t xml:space="preserve"> </w:t>
      </w:r>
    </w:p>
    <w:p w:rsidR="00C46B51" w:rsidRDefault="00C46B51" w:rsidP="00C46B51">
      <w:pPr>
        <w:numPr>
          <w:ilvl w:val="0"/>
          <w:numId w:val="1"/>
        </w:numPr>
        <w:jc w:val="both"/>
      </w:pPr>
      <w:r>
        <w:t>Muestre el posible ahorro de la alternativa ganadora.</w:t>
      </w:r>
      <w:r w:rsidR="00912105">
        <w:t xml:space="preserve"> </w:t>
      </w:r>
    </w:p>
    <w:p w:rsidR="00C46B51" w:rsidRDefault="00C46B51" w:rsidP="00C46B51">
      <w:pPr>
        <w:numPr>
          <w:ilvl w:val="0"/>
          <w:numId w:val="1"/>
        </w:numPr>
        <w:jc w:val="both"/>
      </w:pPr>
      <w:r>
        <w:t>Con la alternativa ganadora, ¿cuántas órdenes se deben colocar al año? ¿cuál es el tiempo entre órdenes?</w:t>
      </w:r>
      <w:r w:rsidR="00C84D4C">
        <w:t xml:space="preserve"> </w:t>
      </w:r>
      <w:r w:rsidR="00912105">
        <w:t xml:space="preserve"> Razone y concluya acertadamente. </w:t>
      </w:r>
    </w:p>
    <w:p w:rsidR="00C46B51" w:rsidRDefault="00C46B51" w:rsidP="00C46B51">
      <w:pPr>
        <w:jc w:val="both"/>
      </w:pPr>
    </w:p>
    <w:p w:rsidR="000029D0" w:rsidRDefault="00C46B51" w:rsidP="000029D0">
      <w:pPr>
        <w:jc w:val="both"/>
      </w:pPr>
      <w:r>
        <w:t xml:space="preserve">2.- </w:t>
      </w:r>
      <w:r w:rsidR="000029D0">
        <w:t>Un empresario le ha pedido a usted que le ayude a determinar el mejor criterio al ordenar pedidos de un nuevo producto. La demanda prevista del nuevo producto es unas 20.000 unidades al año. Para ayudarle a tener una estimación de los costos de almacenamiento y de orden, el empresario le ha dado la lista de los costos del año pasado. El piensa que estos costos pueden ser aplicables  a este nuevo producto.</w:t>
      </w:r>
    </w:p>
    <w:p w:rsidR="000029D0" w:rsidRDefault="000029D0" w:rsidP="000029D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794"/>
        <w:gridCol w:w="3526"/>
        <w:gridCol w:w="821"/>
      </w:tblGrid>
      <w:tr w:rsidR="000029D0" w:rsidTr="000029D0">
        <w:tc>
          <w:tcPr>
            <w:tcW w:w="4322" w:type="dxa"/>
            <w:gridSpan w:val="2"/>
          </w:tcPr>
          <w:p w:rsidR="000029D0" w:rsidRPr="000029D0" w:rsidRDefault="000029D0" w:rsidP="000029D0">
            <w:pPr>
              <w:jc w:val="center"/>
              <w:rPr>
                <w:b/>
              </w:rPr>
            </w:pPr>
            <w:r w:rsidRPr="000029D0">
              <w:rPr>
                <w:b/>
              </w:rPr>
              <w:t>Factor de costo</w:t>
            </w:r>
          </w:p>
        </w:tc>
        <w:tc>
          <w:tcPr>
            <w:tcW w:w="4347" w:type="dxa"/>
            <w:gridSpan w:val="2"/>
          </w:tcPr>
          <w:p w:rsidR="000029D0" w:rsidRPr="000029D0" w:rsidRDefault="000029D0" w:rsidP="000029D0">
            <w:pPr>
              <w:jc w:val="center"/>
              <w:rPr>
                <w:b/>
              </w:rPr>
            </w:pPr>
            <w:r w:rsidRPr="000029D0">
              <w:rPr>
                <w:b/>
              </w:rPr>
              <w:t>Factor de costo</w:t>
            </w:r>
          </w:p>
        </w:tc>
      </w:tr>
      <w:tr w:rsidR="000029D0" w:rsidTr="000029D0">
        <w:tc>
          <w:tcPr>
            <w:tcW w:w="3528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Inspección de recepción y llegada</w:t>
            </w:r>
          </w:p>
        </w:tc>
        <w:tc>
          <w:tcPr>
            <w:tcW w:w="794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1.500</w:t>
            </w:r>
          </w:p>
        </w:tc>
        <w:tc>
          <w:tcPr>
            <w:tcW w:w="3526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proofErr w:type="spellStart"/>
            <w:r w:rsidRPr="000029D0">
              <w:rPr>
                <w:sz w:val="22"/>
                <w:szCs w:val="22"/>
              </w:rPr>
              <w:t>Micelanios</w:t>
            </w:r>
            <w:proofErr w:type="spellEnd"/>
            <w:r w:rsidRPr="000029D0">
              <w:rPr>
                <w:sz w:val="22"/>
                <w:szCs w:val="22"/>
              </w:rPr>
              <w:t xml:space="preserve"> gastos de almacén</w:t>
            </w:r>
          </w:p>
        </w:tc>
        <w:tc>
          <w:tcPr>
            <w:tcW w:w="821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280</w:t>
            </w:r>
          </w:p>
        </w:tc>
      </w:tr>
      <w:tr w:rsidR="000029D0" w:rsidTr="000029D0">
        <w:tc>
          <w:tcPr>
            <w:tcW w:w="3528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Costos del pago de facturas</w:t>
            </w:r>
          </w:p>
        </w:tc>
        <w:tc>
          <w:tcPr>
            <w:tcW w:w="794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500</w:t>
            </w:r>
          </w:p>
        </w:tc>
        <w:tc>
          <w:tcPr>
            <w:tcW w:w="3526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Investigación de proveedores</w:t>
            </w:r>
          </w:p>
        </w:tc>
        <w:tc>
          <w:tcPr>
            <w:tcW w:w="821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2.750</w:t>
            </w:r>
          </w:p>
        </w:tc>
      </w:tr>
      <w:tr w:rsidR="000029D0" w:rsidTr="000029D0">
        <w:tc>
          <w:tcPr>
            <w:tcW w:w="3528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Seguros del inventario almacenado</w:t>
            </w:r>
          </w:p>
        </w:tc>
        <w:tc>
          <w:tcPr>
            <w:tcW w:w="794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600</w:t>
            </w:r>
          </w:p>
        </w:tc>
        <w:tc>
          <w:tcPr>
            <w:tcW w:w="3526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Gastos generales en cada pedido</w:t>
            </w:r>
          </w:p>
        </w:tc>
        <w:tc>
          <w:tcPr>
            <w:tcW w:w="821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1.000</w:t>
            </w:r>
          </w:p>
        </w:tc>
      </w:tr>
      <w:tr w:rsidR="000029D0" w:rsidTr="000029D0">
        <w:tc>
          <w:tcPr>
            <w:tcW w:w="3528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Colocación de avisos de licitación</w:t>
            </w:r>
          </w:p>
        </w:tc>
        <w:tc>
          <w:tcPr>
            <w:tcW w:w="794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800</w:t>
            </w:r>
          </w:p>
        </w:tc>
        <w:tc>
          <w:tcPr>
            <w:tcW w:w="3526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 xml:space="preserve">Pérdidas por obsolescencia </w:t>
            </w:r>
          </w:p>
        </w:tc>
        <w:tc>
          <w:tcPr>
            <w:tcW w:w="821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2.500</w:t>
            </w:r>
          </w:p>
        </w:tc>
      </w:tr>
      <w:tr w:rsidR="000029D0" w:rsidTr="000029D0">
        <w:tc>
          <w:tcPr>
            <w:tcW w:w="3528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 xml:space="preserve">Deterioros </w:t>
            </w:r>
          </w:p>
        </w:tc>
        <w:tc>
          <w:tcPr>
            <w:tcW w:w="794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820</w:t>
            </w:r>
          </w:p>
        </w:tc>
        <w:tc>
          <w:tcPr>
            <w:tcW w:w="3526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Hurtos de inventario</w:t>
            </w:r>
          </w:p>
        </w:tc>
        <w:tc>
          <w:tcPr>
            <w:tcW w:w="821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800</w:t>
            </w:r>
          </w:p>
        </w:tc>
      </w:tr>
      <w:tr w:rsidR="000029D0" w:rsidTr="000029D0">
        <w:tc>
          <w:tcPr>
            <w:tcW w:w="3528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Envíos de pedidos de compra</w:t>
            </w:r>
          </w:p>
        </w:tc>
        <w:tc>
          <w:tcPr>
            <w:tcW w:w="794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800</w:t>
            </w:r>
          </w:p>
        </w:tc>
        <w:tc>
          <w:tcPr>
            <w:tcW w:w="3526" w:type="dxa"/>
          </w:tcPr>
          <w:p w:rsidR="000029D0" w:rsidRPr="000029D0" w:rsidRDefault="000029D0" w:rsidP="00A26268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 xml:space="preserve">Suministros de </w:t>
            </w:r>
            <w:r w:rsidR="00A26268">
              <w:rPr>
                <w:sz w:val="22"/>
                <w:szCs w:val="22"/>
              </w:rPr>
              <w:t xml:space="preserve">cada </w:t>
            </w:r>
            <w:r w:rsidRPr="000029D0">
              <w:rPr>
                <w:sz w:val="22"/>
                <w:szCs w:val="22"/>
              </w:rPr>
              <w:t>pedido</w:t>
            </w:r>
          </w:p>
        </w:tc>
        <w:tc>
          <w:tcPr>
            <w:tcW w:w="821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500</w:t>
            </w:r>
          </w:p>
        </w:tc>
      </w:tr>
      <w:tr w:rsidR="000029D0" w:rsidTr="000029D0">
        <w:tc>
          <w:tcPr>
            <w:tcW w:w="3528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Mejoras anuales del almacén</w:t>
            </w:r>
          </w:p>
        </w:tc>
        <w:tc>
          <w:tcPr>
            <w:tcW w:w="794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2.000</w:t>
            </w:r>
          </w:p>
        </w:tc>
        <w:tc>
          <w:tcPr>
            <w:tcW w:w="3526" w:type="dxa"/>
          </w:tcPr>
          <w:p w:rsidR="000029D0" w:rsidRPr="000029D0" w:rsidRDefault="000029D0" w:rsidP="000029D0">
            <w:pPr>
              <w:jc w:val="both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 xml:space="preserve">Obsolescencia </w:t>
            </w:r>
            <w:proofErr w:type="spellStart"/>
            <w:r w:rsidR="00A26268">
              <w:rPr>
                <w:sz w:val="22"/>
                <w:szCs w:val="22"/>
              </w:rPr>
              <w:t>almacen</w:t>
            </w:r>
            <w:proofErr w:type="spellEnd"/>
          </w:p>
        </w:tc>
        <w:tc>
          <w:tcPr>
            <w:tcW w:w="821" w:type="dxa"/>
          </w:tcPr>
          <w:p w:rsidR="000029D0" w:rsidRPr="000029D0" w:rsidRDefault="000029D0" w:rsidP="000029D0">
            <w:pPr>
              <w:jc w:val="right"/>
              <w:rPr>
                <w:sz w:val="22"/>
                <w:szCs w:val="22"/>
              </w:rPr>
            </w:pPr>
            <w:r w:rsidRPr="000029D0">
              <w:rPr>
                <w:sz w:val="22"/>
                <w:szCs w:val="22"/>
              </w:rPr>
              <w:t>3</w:t>
            </w:r>
            <w:r w:rsidR="00A26268">
              <w:rPr>
                <w:sz w:val="22"/>
                <w:szCs w:val="22"/>
              </w:rPr>
              <w:t>14</w:t>
            </w:r>
          </w:p>
        </w:tc>
      </w:tr>
    </w:tbl>
    <w:p w:rsidR="000029D0" w:rsidRDefault="000029D0" w:rsidP="000029D0">
      <w:pPr>
        <w:jc w:val="both"/>
      </w:pPr>
      <w:r>
        <w:t>Si el costo de almacenamiento representa el 23% de costo del total adquirido en el año, calcule:</w:t>
      </w:r>
    </w:p>
    <w:p w:rsidR="000029D0" w:rsidRPr="007A1FC5" w:rsidRDefault="000029D0" w:rsidP="000029D0">
      <w:pPr>
        <w:numPr>
          <w:ilvl w:val="0"/>
          <w:numId w:val="2"/>
        </w:numPr>
        <w:jc w:val="both"/>
        <w:rPr>
          <w:color w:val="FF0000"/>
        </w:rPr>
      </w:pPr>
      <w:r>
        <w:t>El valor de C.</w:t>
      </w:r>
      <w:r w:rsidR="007A1FC5">
        <w:t xml:space="preserve">        </w:t>
      </w:r>
      <w:r w:rsidR="007A1FC5" w:rsidRPr="007A1FC5">
        <w:rPr>
          <w:color w:val="FF0000"/>
        </w:rPr>
        <w:t>Sol. 1,59 Bs/unidad)</w:t>
      </w:r>
    </w:p>
    <w:p w:rsidR="000029D0" w:rsidRPr="007A1FC5" w:rsidRDefault="000029D0" w:rsidP="000029D0">
      <w:pPr>
        <w:numPr>
          <w:ilvl w:val="0"/>
          <w:numId w:val="2"/>
        </w:numPr>
        <w:jc w:val="both"/>
        <w:rPr>
          <w:color w:val="FF0000"/>
        </w:rPr>
      </w:pPr>
      <w:r>
        <w:t>El valor de S.</w:t>
      </w:r>
      <w:r w:rsidR="007A1FC5">
        <w:t xml:space="preserve">        </w:t>
      </w:r>
      <w:r w:rsidR="007A1FC5" w:rsidRPr="007A1FC5">
        <w:rPr>
          <w:color w:val="FF0000"/>
        </w:rPr>
        <w:t>Sol. (7.850 Bs.)</w:t>
      </w:r>
    </w:p>
    <w:p w:rsidR="004F6369" w:rsidRDefault="000029D0" w:rsidP="000029D0">
      <w:pPr>
        <w:numPr>
          <w:ilvl w:val="0"/>
          <w:numId w:val="2"/>
        </w:numPr>
        <w:jc w:val="both"/>
      </w:pPr>
      <w:r>
        <w:t>El CTAI con sus respectivas conclusiones</w:t>
      </w:r>
    </w:p>
    <w:p w:rsidR="000029D0" w:rsidRDefault="000029D0" w:rsidP="000029D0">
      <w:pPr>
        <w:jc w:val="both"/>
      </w:pPr>
    </w:p>
    <w:p w:rsidR="000029D0" w:rsidRDefault="000029D0" w:rsidP="000029D0">
      <w:pPr>
        <w:jc w:val="both"/>
      </w:pPr>
      <w:r>
        <w:t xml:space="preserve">3.- La empresa Mi Refugio, fabrica y vende tapacubos para el mercado nacional al por menor. La previsión de esta empresa para tapacubos es de 1.000 unidades para el próximo año, con una demanda diaria media de 4 unidades. Sin embargo, el proceso de </w:t>
      </w:r>
      <w:r>
        <w:lastRenderedPageBreak/>
        <w:t xml:space="preserve">producción tiene su máxima eficiencia con 8 unidades por día. Por ello, la empresa fabrica 8 unidades cada día, de las que sólo utiliza 4. Dado estos valores, calcular el número óptimo de unidades por pedido e </w:t>
      </w:r>
      <w:proofErr w:type="spellStart"/>
      <w:r>
        <w:t>interprete</w:t>
      </w:r>
      <w:proofErr w:type="spellEnd"/>
      <w:r>
        <w:t xml:space="preserve"> los resultados según el modelo aplicado. Nota: esta fábrica programa la producción de estos tapacubos solamente cuando es necesario, durante los 200 días que trabaja la fábrica).                         (4 </w:t>
      </w:r>
      <w:proofErr w:type="spellStart"/>
      <w:r>
        <w:t>ptos</w:t>
      </w:r>
      <w:proofErr w:type="spellEnd"/>
      <w:r>
        <w:t>.)</w:t>
      </w:r>
    </w:p>
    <w:p w:rsidR="000029D0" w:rsidRDefault="000029D0" w:rsidP="000029D0">
      <w:pPr>
        <w:jc w:val="both"/>
      </w:pPr>
    </w:p>
    <w:p w:rsidR="000029D0" w:rsidRDefault="000029D0" w:rsidP="000029D0">
      <w:pPr>
        <w:jc w:val="both"/>
      </w:pPr>
      <w:r>
        <w:t>4- Una empresa está intentado realizar un análisis del inventario de uno de sus productos más importantes. La demanda anual de este producto es de 5.000 unidades; los costos de almacenamiento son de 50 dólares por unidad al año; el costo de emisión en su empresa es normalmente de unos 30  dólares por pedido; y el</w:t>
      </w:r>
      <w:r w:rsidR="00965C7B">
        <w:t xml:space="preserve"> plazo de entrega medio es de 2</w:t>
      </w:r>
      <w:r>
        <w:t xml:space="preserve"> días (suponga 250 días laborables al año).</w:t>
      </w:r>
      <w:r w:rsidR="00965C7B">
        <w:t xml:space="preserve"> I es igual al 25%.</w:t>
      </w:r>
    </w:p>
    <w:p w:rsidR="000029D0" w:rsidRDefault="000029D0" w:rsidP="000029D0">
      <w:pPr>
        <w:jc w:val="both"/>
      </w:pPr>
      <w:r>
        <w:t>a) ¿Cuál es el inventario medio?</w:t>
      </w:r>
    </w:p>
    <w:p w:rsidR="000029D0" w:rsidRDefault="000029D0" w:rsidP="000029D0">
      <w:pPr>
        <w:jc w:val="both"/>
      </w:pPr>
      <w:r>
        <w:t>b) ¿Cuál es el número óptimo de días laborables entre pedidos?</w:t>
      </w:r>
    </w:p>
    <w:p w:rsidR="000029D0" w:rsidRDefault="000029D0" w:rsidP="000029D0">
      <w:pPr>
        <w:jc w:val="both"/>
      </w:pPr>
      <w:r>
        <w:t xml:space="preserve">c) ¿Cuál es el punto de </w:t>
      </w:r>
      <w:proofErr w:type="spellStart"/>
      <w:r>
        <w:t>reorden</w:t>
      </w:r>
      <w:proofErr w:type="spellEnd"/>
      <w:r>
        <w:t xml:space="preserve"> si el</w:t>
      </w:r>
      <w:r w:rsidR="00965C7B">
        <w:t xml:space="preserve"> inventario de seguridad es de 10</w:t>
      </w:r>
      <w:r>
        <w:t xml:space="preserve"> unidades?</w:t>
      </w:r>
    </w:p>
    <w:p w:rsidR="000029D0" w:rsidRDefault="000029D0" w:rsidP="000029D0">
      <w:pPr>
        <w:jc w:val="both"/>
      </w:pPr>
      <w:r>
        <w:t>d) graficar e interpretar todos los puntos anteriores, estableciendo todos los conceptos vistos en clases, (todos).</w:t>
      </w:r>
    </w:p>
    <w:p w:rsidR="000029D0" w:rsidRDefault="000029D0" w:rsidP="000029D0">
      <w:pPr>
        <w:jc w:val="both"/>
      </w:pPr>
    </w:p>
    <w:p w:rsidR="000029D0" w:rsidRDefault="000029D0" w:rsidP="000029D0">
      <w:r>
        <w:t>5.- De acuerdo a la siguiente información clasifique los artículos por el método ABC. Extraiga sus conclusiones en función de las ventajas que se obtienen al aplicar esta metodología: desarrolle.</w:t>
      </w:r>
    </w:p>
    <w:p w:rsidR="000029D0" w:rsidRDefault="000029D0" w:rsidP="000029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883"/>
        <w:gridCol w:w="752"/>
        <w:gridCol w:w="752"/>
        <w:gridCol w:w="752"/>
        <w:gridCol w:w="883"/>
        <w:gridCol w:w="623"/>
        <w:gridCol w:w="751"/>
        <w:gridCol w:w="751"/>
        <w:gridCol w:w="882"/>
        <w:gridCol w:w="751"/>
      </w:tblGrid>
      <w:tr w:rsidR="000029D0" w:rsidRPr="00E24701" w:rsidTr="000029D0">
        <w:trPr>
          <w:trHeight w:val="296"/>
        </w:trPr>
        <w:tc>
          <w:tcPr>
            <w:tcW w:w="1274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No. Art.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2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8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0029D0" w:rsidRPr="00E24701" w:rsidTr="000029D0">
        <w:tc>
          <w:tcPr>
            <w:tcW w:w="1274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Cantidad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6450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  <w:tc>
          <w:tcPr>
            <w:tcW w:w="62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88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0029D0" w:rsidRPr="00E24701" w:rsidTr="000029D0">
        <w:tc>
          <w:tcPr>
            <w:tcW w:w="1274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Costo Un.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12,5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62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8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0029D0" w:rsidRPr="00E24701" w:rsidTr="000029D0">
        <w:tc>
          <w:tcPr>
            <w:tcW w:w="1274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No. Art.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62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88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9D0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  <w:tr w:rsidR="000029D0" w:rsidRPr="00E24701" w:rsidTr="000029D0">
        <w:tc>
          <w:tcPr>
            <w:tcW w:w="1274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Cantidad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3250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9000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62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675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1470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8200</w:t>
            </w:r>
          </w:p>
        </w:tc>
        <w:tc>
          <w:tcPr>
            <w:tcW w:w="88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</w:tr>
      <w:tr w:rsidR="000029D0" w:rsidRPr="00E24701" w:rsidTr="000029D0">
        <w:tc>
          <w:tcPr>
            <w:tcW w:w="1274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Costo Un.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75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623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82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0,16</w:t>
            </w:r>
          </w:p>
        </w:tc>
        <w:tc>
          <w:tcPr>
            <w:tcW w:w="751" w:type="dxa"/>
          </w:tcPr>
          <w:p w:rsidR="000029D0" w:rsidRPr="000029D0" w:rsidRDefault="000029D0" w:rsidP="00002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9D0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</w:tr>
    </w:tbl>
    <w:p w:rsidR="000029D0" w:rsidRDefault="000029D0" w:rsidP="000029D0">
      <w:pPr>
        <w:jc w:val="both"/>
      </w:pPr>
      <w:r>
        <w:t xml:space="preserve"> </w:t>
      </w:r>
    </w:p>
    <w:p w:rsidR="000029D0" w:rsidRDefault="000029D0" w:rsidP="000029D0">
      <w:pPr>
        <w:jc w:val="both"/>
      </w:pPr>
    </w:p>
    <w:sectPr w:rsidR="000029D0" w:rsidSect="00631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949"/>
    <w:multiLevelType w:val="hybridMultilevel"/>
    <w:tmpl w:val="8B9EB0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74D23"/>
    <w:multiLevelType w:val="hybridMultilevel"/>
    <w:tmpl w:val="4D5E93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4F6369"/>
    <w:rsid w:val="000029D0"/>
    <w:rsid w:val="00200BE0"/>
    <w:rsid w:val="00236C57"/>
    <w:rsid w:val="004F6369"/>
    <w:rsid w:val="00516A38"/>
    <w:rsid w:val="0062297D"/>
    <w:rsid w:val="00631655"/>
    <w:rsid w:val="00636065"/>
    <w:rsid w:val="007A1FC5"/>
    <w:rsid w:val="00825FFA"/>
    <w:rsid w:val="00912105"/>
    <w:rsid w:val="00965C7B"/>
    <w:rsid w:val="00A26268"/>
    <w:rsid w:val="00AE2502"/>
    <w:rsid w:val="00C46B51"/>
    <w:rsid w:val="00C84D4C"/>
    <w:rsid w:val="00D20B11"/>
    <w:rsid w:val="00DF370A"/>
    <w:rsid w:val="00FD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65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ANDES</vt:lpstr>
    </vt:vector>
  </TitlesOfParts>
  <Company>ULA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ANDES</dc:title>
  <dc:creator>FRANCISCO</dc:creator>
  <cp:lastModifiedBy>Autorizado</cp:lastModifiedBy>
  <cp:revision>3</cp:revision>
  <dcterms:created xsi:type="dcterms:W3CDTF">2011-02-26T01:59:00Z</dcterms:created>
  <dcterms:modified xsi:type="dcterms:W3CDTF">2011-02-28T00:12:00Z</dcterms:modified>
</cp:coreProperties>
</file>