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BD" w:rsidRPr="00CD37BD" w:rsidRDefault="00CD37BD" w:rsidP="00CD37BD">
      <w:pPr>
        <w:spacing w:line="480" w:lineRule="auto"/>
        <w:jc w:val="center"/>
        <w:rPr>
          <w:b/>
          <w:sz w:val="22"/>
        </w:rPr>
      </w:pPr>
      <w:r w:rsidRPr="00CD37BD">
        <w:rPr>
          <w:b/>
          <w:sz w:val="22"/>
        </w:rPr>
        <w:t>LOCALIZACIÓN DE INSTALACIONES</w:t>
      </w:r>
    </w:p>
    <w:p w:rsidR="00CD37BD" w:rsidRPr="00CD37BD" w:rsidRDefault="00CD37BD" w:rsidP="00CD37BD">
      <w:pPr>
        <w:spacing w:line="480" w:lineRule="auto"/>
        <w:jc w:val="center"/>
        <w:rPr>
          <w:b/>
          <w:sz w:val="22"/>
        </w:rPr>
      </w:pPr>
      <w:r w:rsidRPr="00CD37BD">
        <w:rPr>
          <w:b/>
          <w:sz w:val="22"/>
        </w:rPr>
        <w:t>MÉTODO DE LOS COSTOS</w:t>
      </w:r>
    </w:p>
    <w:p w:rsidR="00CD37BD" w:rsidRDefault="00CD37BD" w:rsidP="00CD37BD">
      <w:pPr>
        <w:spacing w:line="480" w:lineRule="auto"/>
        <w:jc w:val="both"/>
        <w:rPr>
          <w:sz w:val="22"/>
        </w:rPr>
      </w:pPr>
    </w:p>
    <w:p w:rsidR="00CD37BD" w:rsidRDefault="0052707C" w:rsidP="00816BC6">
      <w:pPr>
        <w:jc w:val="both"/>
        <w:rPr>
          <w:sz w:val="22"/>
        </w:rPr>
      </w:pPr>
      <w:r w:rsidRPr="00DE5385">
        <w:rPr>
          <w:b/>
          <w:color w:val="00B050"/>
          <w:sz w:val="22"/>
        </w:rPr>
        <w:t>P</w:t>
      </w:r>
      <w:r w:rsidR="00CD37BD" w:rsidRPr="00DE5385">
        <w:rPr>
          <w:b/>
          <w:color w:val="00B050"/>
          <w:sz w:val="22"/>
        </w:rPr>
        <w:t>roblema</w:t>
      </w:r>
      <w:r w:rsidRPr="00DE5385">
        <w:rPr>
          <w:b/>
          <w:color w:val="00B050"/>
          <w:sz w:val="22"/>
        </w:rPr>
        <w:t xml:space="preserve"> 1</w:t>
      </w:r>
      <w:r w:rsidR="00CD37BD" w:rsidRPr="00DE5385">
        <w:rPr>
          <w:b/>
          <w:color w:val="00B050"/>
          <w:sz w:val="22"/>
        </w:rPr>
        <w:t>.</w:t>
      </w:r>
      <w:r w:rsidR="00CD37BD" w:rsidRPr="00DE5385">
        <w:rPr>
          <w:color w:val="00B050"/>
          <w:sz w:val="22"/>
        </w:rPr>
        <w:t xml:space="preserve"> </w:t>
      </w:r>
      <w:r w:rsidR="00CD37BD">
        <w:rPr>
          <w:sz w:val="22"/>
        </w:rPr>
        <w:t>Una empresa transnacional ha terminado de estudiar los factores que afectan la localización de una planta industrial a nivel macroeconómico. Pretende ubicarse en una ciudad de las tantas que se encuentran dentro de una región que posee atractivos para la localización de su planta. Tres ciudades se presentan como candidatas de elección sobre la base de recolección de datos expresados en costos de inversión, Costos fijos anuales y costos variables unitarios que se discriminan a continuación:</w:t>
      </w:r>
    </w:p>
    <w:p w:rsidR="00CD37BD" w:rsidRDefault="00CD37BD" w:rsidP="00CD37BD">
      <w:pPr>
        <w:spacing w:line="480" w:lineRule="auto"/>
        <w:jc w:val="both"/>
        <w:rPr>
          <w:sz w:val="22"/>
        </w:rPr>
      </w:pPr>
    </w:p>
    <w:p w:rsidR="00CD37BD" w:rsidRDefault="00CD37BD" w:rsidP="00CD37BD">
      <w:pPr>
        <w:jc w:val="both"/>
        <w:rPr>
          <w:sz w:val="22"/>
        </w:rPr>
      </w:pPr>
    </w:p>
    <w:tbl>
      <w:tblPr>
        <w:tblW w:w="0" w:type="auto"/>
        <w:tblInd w:w="1354" w:type="dxa"/>
        <w:tblLayout w:type="fixed"/>
        <w:tblCellMar>
          <w:left w:w="0" w:type="dxa"/>
          <w:right w:w="0" w:type="dxa"/>
        </w:tblCellMar>
        <w:tblLook w:val="0000" w:firstRow="0" w:lastRow="0" w:firstColumn="0" w:lastColumn="0" w:noHBand="0" w:noVBand="0"/>
      </w:tblPr>
      <w:tblGrid>
        <w:gridCol w:w="3969"/>
        <w:gridCol w:w="1134"/>
        <w:gridCol w:w="1134"/>
        <w:gridCol w:w="1134"/>
      </w:tblGrid>
      <w:tr w:rsidR="00CD37BD" w:rsidTr="0052707C">
        <w:tc>
          <w:tcPr>
            <w:tcW w:w="3969" w:type="dxa"/>
            <w:tcBorders>
              <w:top w:val="single" w:sz="6" w:space="0" w:color="auto"/>
              <w:left w:val="single" w:sz="6" w:space="0" w:color="auto"/>
              <w:right w:val="single" w:sz="6" w:space="0" w:color="auto"/>
            </w:tcBorders>
          </w:tcPr>
          <w:p w:rsidR="00CD37BD" w:rsidRDefault="00CD37BD" w:rsidP="0052707C">
            <w:pPr>
              <w:jc w:val="center"/>
              <w:rPr>
                <w:sz w:val="22"/>
              </w:rPr>
            </w:pPr>
            <w:r>
              <w:rPr>
                <w:sz w:val="22"/>
              </w:rPr>
              <w:t>Costos</w:t>
            </w:r>
          </w:p>
        </w:tc>
        <w:tc>
          <w:tcPr>
            <w:tcW w:w="1134" w:type="dxa"/>
            <w:tcBorders>
              <w:top w:val="single" w:sz="6" w:space="0" w:color="auto"/>
              <w:left w:val="nil"/>
              <w:bottom w:val="single" w:sz="6" w:space="0" w:color="auto"/>
            </w:tcBorders>
          </w:tcPr>
          <w:p w:rsidR="00CD37BD" w:rsidRDefault="00CD37BD" w:rsidP="0052707C">
            <w:pPr>
              <w:jc w:val="center"/>
              <w:rPr>
                <w:sz w:val="22"/>
              </w:rPr>
            </w:pPr>
          </w:p>
        </w:tc>
        <w:tc>
          <w:tcPr>
            <w:tcW w:w="1134" w:type="dxa"/>
            <w:tcBorders>
              <w:top w:val="single" w:sz="6" w:space="0" w:color="auto"/>
              <w:left w:val="nil"/>
              <w:bottom w:val="single" w:sz="6" w:space="0" w:color="auto"/>
            </w:tcBorders>
          </w:tcPr>
          <w:p w:rsidR="00CD37BD" w:rsidRDefault="00CD37BD" w:rsidP="0052707C">
            <w:pPr>
              <w:jc w:val="center"/>
              <w:rPr>
                <w:sz w:val="22"/>
              </w:rPr>
            </w:pPr>
            <w:r>
              <w:rPr>
                <w:sz w:val="22"/>
              </w:rPr>
              <w:t>Ciudades</w:t>
            </w:r>
          </w:p>
        </w:tc>
        <w:tc>
          <w:tcPr>
            <w:tcW w:w="1134" w:type="dxa"/>
            <w:tcBorders>
              <w:top w:val="single" w:sz="6" w:space="0" w:color="auto"/>
              <w:bottom w:val="single" w:sz="6" w:space="0" w:color="auto"/>
              <w:right w:val="single" w:sz="6" w:space="0" w:color="auto"/>
            </w:tcBorders>
          </w:tcPr>
          <w:p w:rsidR="00CD37BD" w:rsidRDefault="00CD37BD" w:rsidP="0052707C">
            <w:pPr>
              <w:jc w:val="center"/>
              <w:rPr>
                <w:sz w:val="22"/>
              </w:rPr>
            </w:pPr>
          </w:p>
        </w:tc>
      </w:tr>
      <w:tr w:rsidR="00CD37BD" w:rsidTr="0052707C">
        <w:tc>
          <w:tcPr>
            <w:tcW w:w="3969" w:type="dxa"/>
            <w:tcBorders>
              <w:left w:val="single" w:sz="6" w:space="0" w:color="auto"/>
              <w:bottom w:val="single" w:sz="6" w:space="0" w:color="auto"/>
              <w:right w:val="single" w:sz="6" w:space="0" w:color="auto"/>
            </w:tcBorders>
          </w:tcPr>
          <w:p w:rsidR="00CD37BD" w:rsidRDefault="00CD37BD" w:rsidP="0052707C">
            <w:pPr>
              <w:jc w:val="center"/>
              <w:rPr>
                <w:sz w:val="22"/>
              </w:rPr>
            </w:pPr>
          </w:p>
        </w:tc>
        <w:tc>
          <w:tcPr>
            <w:tcW w:w="1134" w:type="dxa"/>
            <w:tcBorders>
              <w:left w:val="nil"/>
              <w:right w:val="single" w:sz="6" w:space="0" w:color="auto"/>
            </w:tcBorders>
          </w:tcPr>
          <w:p w:rsidR="00CD37BD" w:rsidRDefault="00CD37BD" w:rsidP="0052707C">
            <w:pPr>
              <w:jc w:val="center"/>
              <w:rPr>
                <w:sz w:val="22"/>
              </w:rPr>
            </w:pPr>
            <w:r>
              <w:rPr>
                <w:sz w:val="22"/>
              </w:rPr>
              <w:t>A</w:t>
            </w:r>
          </w:p>
        </w:tc>
        <w:tc>
          <w:tcPr>
            <w:tcW w:w="1134" w:type="dxa"/>
            <w:tcBorders>
              <w:left w:val="nil"/>
              <w:right w:val="single" w:sz="6" w:space="0" w:color="auto"/>
            </w:tcBorders>
          </w:tcPr>
          <w:p w:rsidR="00CD37BD" w:rsidRDefault="00CD37BD" w:rsidP="0052707C">
            <w:pPr>
              <w:jc w:val="center"/>
              <w:rPr>
                <w:sz w:val="22"/>
              </w:rPr>
            </w:pPr>
            <w:r>
              <w:rPr>
                <w:sz w:val="22"/>
              </w:rPr>
              <w:t>B</w:t>
            </w:r>
          </w:p>
        </w:tc>
        <w:tc>
          <w:tcPr>
            <w:tcW w:w="1134" w:type="dxa"/>
            <w:tcBorders>
              <w:left w:val="nil"/>
              <w:right w:val="single" w:sz="6" w:space="0" w:color="auto"/>
            </w:tcBorders>
          </w:tcPr>
          <w:p w:rsidR="00CD37BD" w:rsidRDefault="00CD37BD" w:rsidP="0052707C">
            <w:pPr>
              <w:jc w:val="center"/>
              <w:rPr>
                <w:sz w:val="22"/>
              </w:rPr>
            </w:pPr>
            <w:r>
              <w:rPr>
                <w:sz w:val="22"/>
              </w:rPr>
              <w:t>C</w:t>
            </w:r>
          </w:p>
        </w:tc>
      </w:tr>
      <w:tr w:rsidR="00CD37BD" w:rsidTr="0052707C">
        <w:tc>
          <w:tcPr>
            <w:tcW w:w="3969" w:type="dxa"/>
            <w:tcBorders>
              <w:left w:val="single" w:sz="6" w:space="0" w:color="auto"/>
            </w:tcBorders>
          </w:tcPr>
          <w:p w:rsidR="00CD37BD" w:rsidRDefault="00CD37BD" w:rsidP="0052707C">
            <w:pPr>
              <w:jc w:val="both"/>
              <w:rPr>
                <w:sz w:val="22"/>
              </w:rPr>
            </w:pPr>
            <w:r>
              <w:rPr>
                <w:sz w:val="22"/>
              </w:rPr>
              <w:t>Costo del terreno (millones Bs.)</w:t>
            </w:r>
          </w:p>
        </w:tc>
        <w:tc>
          <w:tcPr>
            <w:tcW w:w="1134" w:type="dxa"/>
            <w:tcBorders>
              <w:top w:val="single" w:sz="6" w:space="0" w:color="auto"/>
              <w:left w:val="single" w:sz="6" w:space="0" w:color="auto"/>
              <w:right w:val="single" w:sz="6" w:space="0" w:color="auto"/>
            </w:tcBorders>
          </w:tcPr>
          <w:p w:rsidR="00CD37BD" w:rsidRDefault="00CD37BD" w:rsidP="0052707C">
            <w:pPr>
              <w:jc w:val="right"/>
              <w:rPr>
                <w:sz w:val="22"/>
              </w:rPr>
            </w:pPr>
            <w:r>
              <w:rPr>
                <w:sz w:val="22"/>
              </w:rPr>
              <w:t>50,00</w:t>
            </w:r>
          </w:p>
        </w:tc>
        <w:tc>
          <w:tcPr>
            <w:tcW w:w="1134" w:type="dxa"/>
            <w:tcBorders>
              <w:top w:val="single" w:sz="6" w:space="0" w:color="auto"/>
              <w:left w:val="nil"/>
            </w:tcBorders>
          </w:tcPr>
          <w:p w:rsidR="00CD37BD" w:rsidRDefault="00CD37BD" w:rsidP="0052707C">
            <w:pPr>
              <w:jc w:val="right"/>
              <w:rPr>
                <w:sz w:val="22"/>
              </w:rPr>
            </w:pPr>
            <w:r>
              <w:rPr>
                <w:sz w:val="22"/>
              </w:rPr>
              <w:t>48,00</w:t>
            </w:r>
          </w:p>
        </w:tc>
        <w:tc>
          <w:tcPr>
            <w:tcW w:w="1134" w:type="dxa"/>
            <w:tcBorders>
              <w:top w:val="single" w:sz="6" w:space="0" w:color="auto"/>
              <w:left w:val="single" w:sz="6" w:space="0" w:color="auto"/>
              <w:right w:val="single" w:sz="6" w:space="0" w:color="auto"/>
            </w:tcBorders>
          </w:tcPr>
          <w:p w:rsidR="00CD37BD" w:rsidRDefault="00CD37BD" w:rsidP="0052707C">
            <w:pPr>
              <w:jc w:val="right"/>
              <w:rPr>
                <w:sz w:val="22"/>
              </w:rPr>
            </w:pPr>
            <w:r>
              <w:rPr>
                <w:sz w:val="22"/>
              </w:rPr>
              <w:t>52,25</w:t>
            </w:r>
          </w:p>
        </w:tc>
      </w:tr>
      <w:tr w:rsidR="00CD37BD" w:rsidTr="0052707C">
        <w:tc>
          <w:tcPr>
            <w:tcW w:w="3969" w:type="dxa"/>
            <w:tcBorders>
              <w:left w:val="single" w:sz="6" w:space="0" w:color="auto"/>
            </w:tcBorders>
          </w:tcPr>
          <w:p w:rsidR="00CD37BD" w:rsidRDefault="00CD37BD" w:rsidP="0052707C">
            <w:pPr>
              <w:jc w:val="both"/>
              <w:rPr>
                <w:sz w:val="22"/>
              </w:rPr>
            </w:pPr>
            <w:r>
              <w:rPr>
                <w:sz w:val="22"/>
              </w:rPr>
              <w:t>Costo de la construcción (millones de Bs.)</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75,25</w:t>
            </w:r>
          </w:p>
        </w:tc>
        <w:tc>
          <w:tcPr>
            <w:tcW w:w="1134" w:type="dxa"/>
            <w:tcBorders>
              <w:left w:val="nil"/>
            </w:tcBorders>
          </w:tcPr>
          <w:p w:rsidR="00CD37BD" w:rsidRDefault="00CD37BD" w:rsidP="0052707C">
            <w:pPr>
              <w:jc w:val="right"/>
              <w:rPr>
                <w:sz w:val="22"/>
              </w:rPr>
            </w:pPr>
            <w:r>
              <w:rPr>
                <w:sz w:val="22"/>
              </w:rPr>
              <w:t>80,48</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81,75</w:t>
            </w:r>
          </w:p>
        </w:tc>
      </w:tr>
      <w:tr w:rsidR="00CD37BD" w:rsidTr="0052707C">
        <w:tc>
          <w:tcPr>
            <w:tcW w:w="3969" w:type="dxa"/>
            <w:tcBorders>
              <w:left w:val="single" w:sz="6" w:space="0" w:color="auto"/>
            </w:tcBorders>
          </w:tcPr>
          <w:p w:rsidR="00CD37BD" w:rsidRDefault="00CD37BD" w:rsidP="0052707C">
            <w:pPr>
              <w:jc w:val="both"/>
              <w:rPr>
                <w:sz w:val="22"/>
              </w:rPr>
            </w:pPr>
            <w:r>
              <w:rPr>
                <w:sz w:val="22"/>
              </w:rPr>
              <w:t>Costo de las maquinarias (millones de Bs.)</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40,10</w:t>
            </w:r>
          </w:p>
        </w:tc>
        <w:tc>
          <w:tcPr>
            <w:tcW w:w="1134" w:type="dxa"/>
            <w:tcBorders>
              <w:left w:val="nil"/>
            </w:tcBorders>
          </w:tcPr>
          <w:p w:rsidR="00CD37BD" w:rsidRDefault="00CD37BD" w:rsidP="0052707C">
            <w:pPr>
              <w:jc w:val="right"/>
              <w:rPr>
                <w:sz w:val="22"/>
              </w:rPr>
            </w:pPr>
            <w:r>
              <w:rPr>
                <w:sz w:val="22"/>
              </w:rPr>
              <w:t>53,40</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45,80</w:t>
            </w:r>
          </w:p>
        </w:tc>
      </w:tr>
      <w:tr w:rsidR="00CD37BD" w:rsidTr="0052707C">
        <w:tc>
          <w:tcPr>
            <w:tcW w:w="3969" w:type="dxa"/>
            <w:tcBorders>
              <w:left w:val="single" w:sz="6" w:space="0" w:color="auto"/>
            </w:tcBorders>
          </w:tcPr>
          <w:p w:rsidR="00CD37BD" w:rsidRDefault="00CD37BD" w:rsidP="0052707C">
            <w:pPr>
              <w:jc w:val="both"/>
              <w:rPr>
                <w:sz w:val="22"/>
              </w:rPr>
            </w:pPr>
            <w:r>
              <w:rPr>
                <w:sz w:val="22"/>
              </w:rPr>
              <w:t>Costo de los insumos (Bs./unidad)</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4.000</w:t>
            </w:r>
          </w:p>
        </w:tc>
        <w:tc>
          <w:tcPr>
            <w:tcW w:w="1134" w:type="dxa"/>
            <w:tcBorders>
              <w:left w:val="nil"/>
            </w:tcBorders>
          </w:tcPr>
          <w:p w:rsidR="00CD37BD" w:rsidRDefault="00CD37BD" w:rsidP="0052707C">
            <w:pPr>
              <w:jc w:val="right"/>
              <w:rPr>
                <w:sz w:val="22"/>
              </w:rPr>
            </w:pPr>
            <w:r>
              <w:rPr>
                <w:sz w:val="22"/>
              </w:rPr>
              <w:t>5.000</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3.500</w:t>
            </w:r>
          </w:p>
        </w:tc>
      </w:tr>
      <w:tr w:rsidR="00CD37BD" w:rsidTr="0052707C">
        <w:tc>
          <w:tcPr>
            <w:tcW w:w="3969" w:type="dxa"/>
            <w:tcBorders>
              <w:left w:val="single" w:sz="6" w:space="0" w:color="auto"/>
            </w:tcBorders>
          </w:tcPr>
          <w:p w:rsidR="00CD37BD" w:rsidRDefault="00CD37BD" w:rsidP="0052707C">
            <w:pPr>
              <w:jc w:val="both"/>
              <w:rPr>
                <w:sz w:val="22"/>
              </w:rPr>
            </w:pPr>
            <w:r>
              <w:rPr>
                <w:sz w:val="22"/>
              </w:rPr>
              <w:t>Costo del agua (Bs./año)</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300.000</w:t>
            </w:r>
          </w:p>
        </w:tc>
        <w:tc>
          <w:tcPr>
            <w:tcW w:w="1134" w:type="dxa"/>
            <w:tcBorders>
              <w:left w:val="nil"/>
            </w:tcBorders>
          </w:tcPr>
          <w:p w:rsidR="00CD37BD" w:rsidRDefault="00CD37BD" w:rsidP="0052707C">
            <w:pPr>
              <w:jc w:val="right"/>
              <w:rPr>
                <w:sz w:val="22"/>
              </w:rPr>
            </w:pPr>
            <w:r>
              <w:rPr>
                <w:sz w:val="22"/>
              </w:rPr>
              <w:t>260.000</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295.000</w:t>
            </w:r>
          </w:p>
        </w:tc>
      </w:tr>
      <w:tr w:rsidR="00CD37BD" w:rsidTr="0052707C">
        <w:tc>
          <w:tcPr>
            <w:tcW w:w="3969" w:type="dxa"/>
            <w:tcBorders>
              <w:left w:val="single" w:sz="6" w:space="0" w:color="auto"/>
            </w:tcBorders>
          </w:tcPr>
          <w:p w:rsidR="00CD37BD" w:rsidRDefault="00CD37BD" w:rsidP="0052707C">
            <w:pPr>
              <w:jc w:val="both"/>
              <w:rPr>
                <w:sz w:val="22"/>
              </w:rPr>
            </w:pPr>
            <w:r>
              <w:rPr>
                <w:sz w:val="22"/>
              </w:rPr>
              <w:t xml:space="preserve">Costo de la energía (millones de Bs./año) </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52,.00</w:t>
            </w:r>
          </w:p>
        </w:tc>
        <w:tc>
          <w:tcPr>
            <w:tcW w:w="1134" w:type="dxa"/>
            <w:tcBorders>
              <w:left w:val="nil"/>
            </w:tcBorders>
          </w:tcPr>
          <w:p w:rsidR="00CD37BD" w:rsidRDefault="00CD37BD" w:rsidP="0052707C">
            <w:pPr>
              <w:jc w:val="right"/>
              <w:rPr>
                <w:sz w:val="22"/>
              </w:rPr>
            </w:pPr>
            <w:r>
              <w:rPr>
                <w:sz w:val="22"/>
              </w:rPr>
              <w:t>51,.23</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51,.12</w:t>
            </w:r>
          </w:p>
        </w:tc>
      </w:tr>
      <w:tr w:rsidR="00CD37BD" w:rsidTr="0052707C">
        <w:tc>
          <w:tcPr>
            <w:tcW w:w="3969" w:type="dxa"/>
            <w:tcBorders>
              <w:left w:val="single" w:sz="6" w:space="0" w:color="auto"/>
            </w:tcBorders>
          </w:tcPr>
          <w:p w:rsidR="00CD37BD" w:rsidRDefault="00CD37BD" w:rsidP="0052707C">
            <w:pPr>
              <w:jc w:val="both"/>
              <w:rPr>
                <w:sz w:val="22"/>
              </w:rPr>
            </w:pPr>
            <w:r>
              <w:rPr>
                <w:sz w:val="22"/>
              </w:rPr>
              <w:t xml:space="preserve">Costo de la mano de obra(Bs./unidad) </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4.300</w:t>
            </w:r>
          </w:p>
        </w:tc>
        <w:tc>
          <w:tcPr>
            <w:tcW w:w="1134" w:type="dxa"/>
            <w:tcBorders>
              <w:left w:val="nil"/>
            </w:tcBorders>
          </w:tcPr>
          <w:p w:rsidR="00CD37BD" w:rsidRDefault="00CD37BD" w:rsidP="0052707C">
            <w:pPr>
              <w:jc w:val="right"/>
              <w:rPr>
                <w:sz w:val="22"/>
              </w:rPr>
            </w:pPr>
            <w:r>
              <w:rPr>
                <w:sz w:val="22"/>
              </w:rPr>
              <w:t>5.216</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4.780</w:t>
            </w:r>
          </w:p>
        </w:tc>
      </w:tr>
      <w:tr w:rsidR="00CD37BD" w:rsidTr="0052707C">
        <w:tc>
          <w:tcPr>
            <w:tcW w:w="3969" w:type="dxa"/>
            <w:tcBorders>
              <w:left w:val="single" w:sz="6" w:space="0" w:color="auto"/>
            </w:tcBorders>
          </w:tcPr>
          <w:p w:rsidR="00CD37BD" w:rsidRDefault="00CD37BD" w:rsidP="0052707C">
            <w:pPr>
              <w:jc w:val="both"/>
              <w:rPr>
                <w:sz w:val="22"/>
              </w:rPr>
            </w:pPr>
            <w:r>
              <w:rPr>
                <w:sz w:val="22"/>
              </w:rPr>
              <w:t>Impuestos estimados(millones de Bs./año)</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3,.00</w:t>
            </w:r>
          </w:p>
        </w:tc>
        <w:tc>
          <w:tcPr>
            <w:tcW w:w="1134" w:type="dxa"/>
            <w:tcBorders>
              <w:left w:val="nil"/>
            </w:tcBorders>
          </w:tcPr>
          <w:p w:rsidR="00CD37BD" w:rsidRDefault="00CD37BD" w:rsidP="0052707C">
            <w:pPr>
              <w:jc w:val="right"/>
              <w:rPr>
                <w:sz w:val="22"/>
              </w:rPr>
            </w:pPr>
            <w:r>
              <w:rPr>
                <w:sz w:val="22"/>
              </w:rPr>
              <w:t>3,25</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3,50</w:t>
            </w:r>
          </w:p>
        </w:tc>
      </w:tr>
      <w:tr w:rsidR="00CD37BD" w:rsidTr="0052707C">
        <w:tc>
          <w:tcPr>
            <w:tcW w:w="3969" w:type="dxa"/>
            <w:tcBorders>
              <w:left w:val="single" w:sz="6" w:space="0" w:color="auto"/>
            </w:tcBorders>
          </w:tcPr>
          <w:p w:rsidR="00CD37BD" w:rsidRDefault="00CD37BD" w:rsidP="0052707C">
            <w:pPr>
              <w:jc w:val="both"/>
              <w:rPr>
                <w:sz w:val="22"/>
              </w:rPr>
            </w:pPr>
            <w:r>
              <w:rPr>
                <w:sz w:val="22"/>
              </w:rPr>
              <w:t>Envases (Bs./unidad)</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250</w:t>
            </w:r>
          </w:p>
        </w:tc>
        <w:tc>
          <w:tcPr>
            <w:tcW w:w="1134" w:type="dxa"/>
            <w:tcBorders>
              <w:left w:val="nil"/>
            </w:tcBorders>
          </w:tcPr>
          <w:p w:rsidR="00CD37BD" w:rsidRDefault="00CD37BD" w:rsidP="0052707C">
            <w:pPr>
              <w:jc w:val="right"/>
              <w:rPr>
                <w:sz w:val="22"/>
              </w:rPr>
            </w:pPr>
            <w:r>
              <w:rPr>
                <w:sz w:val="22"/>
              </w:rPr>
              <w:t>260</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240</w:t>
            </w:r>
          </w:p>
        </w:tc>
      </w:tr>
      <w:tr w:rsidR="00CD37BD" w:rsidTr="0052707C">
        <w:tc>
          <w:tcPr>
            <w:tcW w:w="3969" w:type="dxa"/>
            <w:tcBorders>
              <w:left w:val="single" w:sz="6" w:space="0" w:color="auto"/>
            </w:tcBorders>
          </w:tcPr>
          <w:p w:rsidR="00CD37BD" w:rsidRDefault="00CD37BD" w:rsidP="0052707C">
            <w:pPr>
              <w:jc w:val="both"/>
              <w:rPr>
                <w:sz w:val="22"/>
              </w:rPr>
            </w:pPr>
            <w:r>
              <w:rPr>
                <w:sz w:val="22"/>
              </w:rPr>
              <w:t>Depreciación (millones Bs./año)</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4,01</w:t>
            </w:r>
          </w:p>
        </w:tc>
        <w:tc>
          <w:tcPr>
            <w:tcW w:w="1134" w:type="dxa"/>
            <w:tcBorders>
              <w:left w:val="nil"/>
            </w:tcBorders>
          </w:tcPr>
          <w:p w:rsidR="00CD37BD" w:rsidRDefault="00CD37BD" w:rsidP="0052707C">
            <w:pPr>
              <w:jc w:val="right"/>
              <w:rPr>
                <w:sz w:val="22"/>
              </w:rPr>
            </w:pPr>
            <w:r>
              <w:rPr>
                <w:sz w:val="22"/>
              </w:rPr>
              <w:t>5,34</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4,58</w:t>
            </w:r>
          </w:p>
        </w:tc>
      </w:tr>
      <w:tr w:rsidR="00CD37BD" w:rsidTr="0052707C">
        <w:tc>
          <w:tcPr>
            <w:tcW w:w="3969" w:type="dxa"/>
            <w:tcBorders>
              <w:left w:val="single" w:sz="6" w:space="0" w:color="auto"/>
            </w:tcBorders>
          </w:tcPr>
          <w:p w:rsidR="00CD37BD" w:rsidRDefault="00CD37BD" w:rsidP="0052707C">
            <w:pPr>
              <w:jc w:val="both"/>
              <w:rPr>
                <w:sz w:val="22"/>
              </w:rPr>
            </w:pPr>
            <w:r>
              <w:rPr>
                <w:sz w:val="22"/>
              </w:rPr>
              <w:t xml:space="preserve">Publicidad (Bs./año) </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951.000</w:t>
            </w:r>
          </w:p>
        </w:tc>
        <w:tc>
          <w:tcPr>
            <w:tcW w:w="1134" w:type="dxa"/>
            <w:tcBorders>
              <w:left w:val="nil"/>
            </w:tcBorders>
          </w:tcPr>
          <w:p w:rsidR="00CD37BD" w:rsidRDefault="00CD37BD" w:rsidP="0052707C">
            <w:pPr>
              <w:jc w:val="right"/>
              <w:rPr>
                <w:sz w:val="22"/>
              </w:rPr>
            </w:pPr>
            <w:r>
              <w:rPr>
                <w:sz w:val="22"/>
              </w:rPr>
              <w:t>825.000</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812.000</w:t>
            </w:r>
          </w:p>
        </w:tc>
      </w:tr>
      <w:tr w:rsidR="00CD37BD" w:rsidTr="0052707C">
        <w:tc>
          <w:tcPr>
            <w:tcW w:w="3969" w:type="dxa"/>
            <w:tcBorders>
              <w:left w:val="single" w:sz="6" w:space="0" w:color="auto"/>
            </w:tcBorders>
          </w:tcPr>
          <w:p w:rsidR="00CD37BD" w:rsidRDefault="00CD37BD" w:rsidP="0052707C">
            <w:pPr>
              <w:jc w:val="both"/>
              <w:rPr>
                <w:sz w:val="22"/>
              </w:rPr>
            </w:pPr>
            <w:r>
              <w:rPr>
                <w:sz w:val="22"/>
              </w:rPr>
              <w:t>Costos de transporte (Bs./año)</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300.000</w:t>
            </w:r>
          </w:p>
        </w:tc>
        <w:tc>
          <w:tcPr>
            <w:tcW w:w="1134" w:type="dxa"/>
            <w:tcBorders>
              <w:left w:val="nil"/>
            </w:tcBorders>
          </w:tcPr>
          <w:p w:rsidR="00CD37BD" w:rsidRDefault="00CD37BD" w:rsidP="0052707C">
            <w:pPr>
              <w:jc w:val="right"/>
              <w:rPr>
                <w:sz w:val="22"/>
              </w:rPr>
            </w:pPr>
            <w:r>
              <w:rPr>
                <w:sz w:val="22"/>
              </w:rPr>
              <w:t>310.000</w:t>
            </w:r>
          </w:p>
        </w:tc>
        <w:tc>
          <w:tcPr>
            <w:tcW w:w="1134" w:type="dxa"/>
            <w:tcBorders>
              <w:left w:val="single" w:sz="6" w:space="0" w:color="auto"/>
              <w:right w:val="single" w:sz="6" w:space="0" w:color="auto"/>
            </w:tcBorders>
          </w:tcPr>
          <w:p w:rsidR="00CD37BD" w:rsidRDefault="00CD37BD" w:rsidP="0052707C">
            <w:pPr>
              <w:jc w:val="right"/>
              <w:rPr>
                <w:sz w:val="22"/>
              </w:rPr>
            </w:pPr>
            <w:r>
              <w:rPr>
                <w:sz w:val="22"/>
              </w:rPr>
              <w:t>300.000</w:t>
            </w:r>
          </w:p>
        </w:tc>
      </w:tr>
      <w:tr w:rsidR="00CD37BD" w:rsidTr="0052707C">
        <w:tc>
          <w:tcPr>
            <w:tcW w:w="3969" w:type="dxa"/>
            <w:tcBorders>
              <w:left w:val="single" w:sz="6" w:space="0" w:color="auto"/>
              <w:bottom w:val="single" w:sz="6" w:space="0" w:color="auto"/>
            </w:tcBorders>
          </w:tcPr>
          <w:p w:rsidR="00CD37BD" w:rsidRDefault="00CD37BD" w:rsidP="0052707C">
            <w:pPr>
              <w:jc w:val="both"/>
              <w:rPr>
                <w:sz w:val="22"/>
              </w:rPr>
            </w:pPr>
            <w:r>
              <w:rPr>
                <w:sz w:val="22"/>
              </w:rPr>
              <w:t>Seguros (Bs./unidad)</w:t>
            </w:r>
          </w:p>
        </w:tc>
        <w:tc>
          <w:tcPr>
            <w:tcW w:w="1134" w:type="dxa"/>
            <w:tcBorders>
              <w:left w:val="single" w:sz="6" w:space="0" w:color="auto"/>
              <w:bottom w:val="single" w:sz="6" w:space="0" w:color="auto"/>
              <w:right w:val="single" w:sz="6" w:space="0" w:color="auto"/>
            </w:tcBorders>
          </w:tcPr>
          <w:p w:rsidR="00CD37BD" w:rsidRDefault="00CD37BD" w:rsidP="0052707C">
            <w:pPr>
              <w:jc w:val="right"/>
              <w:rPr>
                <w:sz w:val="22"/>
              </w:rPr>
            </w:pPr>
            <w:r>
              <w:rPr>
                <w:sz w:val="22"/>
              </w:rPr>
              <w:t>0.5</w:t>
            </w:r>
          </w:p>
        </w:tc>
        <w:tc>
          <w:tcPr>
            <w:tcW w:w="1134" w:type="dxa"/>
            <w:tcBorders>
              <w:left w:val="nil"/>
              <w:bottom w:val="single" w:sz="6" w:space="0" w:color="auto"/>
            </w:tcBorders>
          </w:tcPr>
          <w:p w:rsidR="00CD37BD" w:rsidRDefault="00CD37BD" w:rsidP="0052707C">
            <w:pPr>
              <w:jc w:val="right"/>
              <w:rPr>
                <w:sz w:val="22"/>
              </w:rPr>
            </w:pPr>
            <w:r>
              <w:rPr>
                <w:sz w:val="22"/>
              </w:rPr>
              <w:t>0.49</w:t>
            </w:r>
          </w:p>
        </w:tc>
        <w:tc>
          <w:tcPr>
            <w:tcW w:w="1134" w:type="dxa"/>
            <w:tcBorders>
              <w:left w:val="single" w:sz="6" w:space="0" w:color="auto"/>
              <w:bottom w:val="single" w:sz="6" w:space="0" w:color="auto"/>
              <w:right w:val="single" w:sz="6" w:space="0" w:color="auto"/>
            </w:tcBorders>
          </w:tcPr>
          <w:p w:rsidR="00CD37BD" w:rsidRDefault="00CD37BD" w:rsidP="0052707C">
            <w:pPr>
              <w:jc w:val="right"/>
              <w:rPr>
                <w:sz w:val="22"/>
              </w:rPr>
            </w:pPr>
            <w:r>
              <w:rPr>
                <w:sz w:val="22"/>
              </w:rPr>
              <w:t>0.45</w:t>
            </w:r>
          </w:p>
        </w:tc>
      </w:tr>
    </w:tbl>
    <w:p w:rsidR="00CD37BD" w:rsidRDefault="00CD37BD" w:rsidP="00CD37BD">
      <w:pPr>
        <w:jc w:val="both"/>
        <w:rPr>
          <w:sz w:val="22"/>
        </w:rPr>
      </w:pPr>
    </w:p>
    <w:p w:rsidR="0052707C" w:rsidRDefault="00CD37BD" w:rsidP="00CD37BD">
      <w:pPr>
        <w:spacing w:line="480" w:lineRule="auto"/>
        <w:jc w:val="both"/>
        <w:rPr>
          <w:sz w:val="22"/>
        </w:rPr>
      </w:pPr>
      <w:r>
        <w:rPr>
          <w:sz w:val="22"/>
        </w:rPr>
        <w:tab/>
      </w:r>
    </w:p>
    <w:p w:rsidR="00CD37BD" w:rsidRDefault="00CD37BD" w:rsidP="00816BC6">
      <w:pPr>
        <w:jc w:val="both"/>
        <w:rPr>
          <w:sz w:val="22"/>
        </w:rPr>
      </w:pPr>
      <w:r>
        <w:rPr>
          <w:sz w:val="22"/>
        </w:rPr>
        <w:t>Se considera que los demás costos permanecen constantes en estas ciudades y por lo tanto no otorgan poder de decisión para la localización. Luego, se establecen los costos de inversión y de operación para las ciudades señaladas, tomando en cuenta una producción de 2.000 unidades al año.</w:t>
      </w:r>
    </w:p>
    <w:p w:rsidR="0052707C" w:rsidRDefault="0052707C" w:rsidP="00816BC6">
      <w:pPr>
        <w:jc w:val="both"/>
        <w:rPr>
          <w:sz w:val="22"/>
        </w:rPr>
      </w:pPr>
      <w:r>
        <w:rPr>
          <w:sz w:val="22"/>
        </w:rPr>
        <w:t>Identifique la ciudad a localizar el proyecto.</w:t>
      </w:r>
    </w:p>
    <w:p w:rsidR="0052707C" w:rsidRDefault="0052707C" w:rsidP="00816BC6">
      <w:pPr>
        <w:jc w:val="both"/>
        <w:rPr>
          <w:sz w:val="22"/>
        </w:rPr>
      </w:pPr>
    </w:p>
    <w:p w:rsidR="0052707C" w:rsidRDefault="0052707C" w:rsidP="00816BC6">
      <w:pPr>
        <w:jc w:val="both"/>
        <w:rPr>
          <w:sz w:val="22"/>
        </w:rPr>
      </w:pPr>
      <w:r>
        <w:rPr>
          <w:sz w:val="22"/>
        </w:rPr>
        <w:t>Solución: Para calcular los costos fijos y variables independientemente de los costos de inversión se usará la siguiente fórmula:</w:t>
      </w:r>
    </w:p>
    <w:p w:rsidR="0052707C" w:rsidRDefault="0052707C" w:rsidP="00816BC6">
      <w:pPr>
        <w:jc w:val="center"/>
        <w:rPr>
          <w:sz w:val="22"/>
        </w:rPr>
      </w:pPr>
      <w:r>
        <w:rPr>
          <w:sz w:val="22"/>
        </w:rPr>
        <w:t>C.T.= C.F.T.+</w:t>
      </w:r>
      <w:proofErr w:type="spellStart"/>
      <w:r>
        <w:rPr>
          <w:sz w:val="22"/>
        </w:rPr>
        <w:t>C.V.U.x</w:t>
      </w:r>
      <w:proofErr w:type="spellEnd"/>
      <w:r>
        <w:rPr>
          <w:sz w:val="22"/>
        </w:rPr>
        <w:t xml:space="preserve"> Q.</w:t>
      </w:r>
    </w:p>
    <w:p w:rsidR="0052707C" w:rsidRDefault="0052707C" w:rsidP="00816BC6">
      <w:pPr>
        <w:jc w:val="both"/>
        <w:rPr>
          <w:sz w:val="22"/>
        </w:rPr>
      </w:pPr>
      <w:r>
        <w:rPr>
          <w:sz w:val="22"/>
        </w:rPr>
        <w:tab/>
      </w:r>
      <w:proofErr w:type="spellStart"/>
      <w:r>
        <w:rPr>
          <w:sz w:val="22"/>
        </w:rPr>
        <w:t>Donde</w:t>
      </w:r>
      <w:proofErr w:type="spellEnd"/>
      <w:r>
        <w:rPr>
          <w:sz w:val="22"/>
        </w:rPr>
        <w:t>:</w:t>
      </w:r>
    </w:p>
    <w:p w:rsidR="0052707C" w:rsidRDefault="0052707C" w:rsidP="00816BC6">
      <w:pPr>
        <w:jc w:val="both"/>
        <w:rPr>
          <w:sz w:val="22"/>
        </w:rPr>
      </w:pPr>
      <w:r>
        <w:rPr>
          <w:sz w:val="22"/>
        </w:rPr>
        <w:tab/>
      </w:r>
      <w:r>
        <w:rPr>
          <w:sz w:val="22"/>
        </w:rPr>
        <w:tab/>
      </w:r>
    </w:p>
    <w:p w:rsidR="0052707C" w:rsidRDefault="0052707C" w:rsidP="00816BC6">
      <w:pPr>
        <w:jc w:val="both"/>
        <w:rPr>
          <w:sz w:val="22"/>
        </w:rPr>
      </w:pPr>
      <w:r>
        <w:rPr>
          <w:sz w:val="22"/>
        </w:rPr>
        <w:tab/>
      </w:r>
      <w:r>
        <w:rPr>
          <w:sz w:val="22"/>
        </w:rPr>
        <w:tab/>
        <w:t>C.T.: Costos Totales</w:t>
      </w:r>
    </w:p>
    <w:p w:rsidR="0052707C" w:rsidRDefault="0052707C" w:rsidP="00816BC6">
      <w:pPr>
        <w:jc w:val="both"/>
        <w:rPr>
          <w:sz w:val="22"/>
        </w:rPr>
      </w:pPr>
      <w:r>
        <w:rPr>
          <w:sz w:val="22"/>
        </w:rPr>
        <w:tab/>
      </w:r>
      <w:r>
        <w:rPr>
          <w:sz w:val="22"/>
        </w:rPr>
        <w:tab/>
        <w:t>C.F.T.: Costos fijos totales</w:t>
      </w:r>
    </w:p>
    <w:p w:rsidR="0052707C" w:rsidRDefault="0052707C" w:rsidP="00816BC6">
      <w:pPr>
        <w:jc w:val="both"/>
        <w:rPr>
          <w:sz w:val="22"/>
        </w:rPr>
      </w:pPr>
      <w:r>
        <w:rPr>
          <w:sz w:val="22"/>
        </w:rPr>
        <w:tab/>
      </w:r>
      <w:r>
        <w:rPr>
          <w:sz w:val="22"/>
        </w:rPr>
        <w:tab/>
        <w:t>C.V.U.: Costos variables unitarios.</w:t>
      </w:r>
    </w:p>
    <w:p w:rsidR="0052707C" w:rsidRDefault="0052707C" w:rsidP="00816BC6">
      <w:pPr>
        <w:jc w:val="both"/>
        <w:rPr>
          <w:sz w:val="22"/>
        </w:rPr>
      </w:pPr>
      <w:r>
        <w:rPr>
          <w:sz w:val="22"/>
        </w:rPr>
        <w:tab/>
      </w:r>
      <w:r>
        <w:rPr>
          <w:sz w:val="22"/>
        </w:rPr>
        <w:tab/>
        <w:t>Q.: Cantidad a producir.</w:t>
      </w:r>
    </w:p>
    <w:p w:rsidR="0052707C" w:rsidRDefault="0052707C" w:rsidP="00816BC6">
      <w:pPr>
        <w:rPr>
          <w:sz w:val="22"/>
        </w:rPr>
      </w:pPr>
    </w:p>
    <w:p w:rsidR="0052707C" w:rsidRDefault="0052707C" w:rsidP="00816BC6">
      <w:pPr>
        <w:rPr>
          <w:sz w:val="22"/>
        </w:rPr>
      </w:pPr>
      <w:r>
        <w:rPr>
          <w:sz w:val="22"/>
        </w:rPr>
        <w:t>La sumatoria de los costos Fijos para cada ciudad:</w:t>
      </w:r>
    </w:p>
    <w:p w:rsidR="0052707C" w:rsidRDefault="0052707C" w:rsidP="00816BC6">
      <w:pPr>
        <w:rPr>
          <w:sz w:val="22"/>
        </w:rPr>
      </w:pPr>
    </w:p>
    <w:p w:rsidR="0052707C" w:rsidRDefault="0052707C" w:rsidP="00816BC6">
      <w:pPr>
        <w:rPr>
          <w:sz w:val="22"/>
        </w:rPr>
      </w:pPr>
      <w:r>
        <w:rPr>
          <w:sz w:val="22"/>
        </w:rPr>
        <w:t>Ciudad A: 60.561.000 Bs.          Ciudad B: 61.215.000 Bs.            Ciudad C: 60.607.000 Bs.</w:t>
      </w:r>
    </w:p>
    <w:p w:rsidR="0052707C" w:rsidRDefault="0052707C" w:rsidP="00816BC6">
      <w:pPr>
        <w:rPr>
          <w:sz w:val="22"/>
        </w:rPr>
      </w:pPr>
      <w:r>
        <w:rPr>
          <w:sz w:val="22"/>
        </w:rPr>
        <w:lastRenderedPageBreak/>
        <w:tab/>
      </w:r>
    </w:p>
    <w:p w:rsidR="0052707C" w:rsidRDefault="0052707C" w:rsidP="00816BC6">
      <w:pPr>
        <w:rPr>
          <w:sz w:val="22"/>
        </w:rPr>
      </w:pPr>
      <w:r>
        <w:rPr>
          <w:sz w:val="22"/>
        </w:rPr>
        <w:t>La sumatoria de los costos variables unitarios para cada ciudad:</w:t>
      </w:r>
    </w:p>
    <w:p w:rsidR="0052707C" w:rsidRDefault="0052707C" w:rsidP="00816BC6">
      <w:pPr>
        <w:rPr>
          <w:sz w:val="22"/>
        </w:rPr>
      </w:pPr>
    </w:p>
    <w:p w:rsidR="0052707C" w:rsidRDefault="0052707C" w:rsidP="00816BC6">
      <w:pPr>
        <w:rPr>
          <w:sz w:val="22"/>
        </w:rPr>
      </w:pPr>
      <w:r>
        <w:rPr>
          <w:sz w:val="22"/>
        </w:rPr>
        <w:t>Ciudad A: 8.550,50 Bs/unidad   Ciudad B: 10.476,49 Bs</w:t>
      </w:r>
      <w:proofErr w:type="gramStart"/>
      <w:r>
        <w:rPr>
          <w:sz w:val="22"/>
        </w:rPr>
        <w:t>./</w:t>
      </w:r>
      <w:proofErr w:type="gramEnd"/>
      <w:r>
        <w:rPr>
          <w:sz w:val="22"/>
        </w:rPr>
        <w:t>unidad   Ciudad C: 8.520,45Bs./unidad</w:t>
      </w:r>
    </w:p>
    <w:p w:rsidR="0052707C" w:rsidRDefault="0052707C" w:rsidP="00816BC6">
      <w:pPr>
        <w:rPr>
          <w:sz w:val="22"/>
        </w:rPr>
      </w:pPr>
    </w:p>
    <w:p w:rsidR="0052707C" w:rsidRDefault="0052707C" w:rsidP="00816BC6">
      <w:pPr>
        <w:rPr>
          <w:sz w:val="22"/>
        </w:rPr>
      </w:pPr>
      <w:r>
        <w:rPr>
          <w:sz w:val="22"/>
        </w:rPr>
        <w:t>La sumatoria de los costos de inversión para cada ciudad:</w:t>
      </w:r>
    </w:p>
    <w:p w:rsidR="0052707C" w:rsidRDefault="0052707C" w:rsidP="00816BC6">
      <w:pPr>
        <w:rPr>
          <w:sz w:val="22"/>
        </w:rPr>
      </w:pPr>
    </w:p>
    <w:p w:rsidR="0052707C" w:rsidRDefault="0052707C" w:rsidP="00816BC6">
      <w:pPr>
        <w:rPr>
          <w:sz w:val="22"/>
        </w:rPr>
      </w:pPr>
      <w:r>
        <w:rPr>
          <w:sz w:val="22"/>
        </w:rPr>
        <w:t>Ciudad A: 165.350.000 Bs.       Ciudad B: 181.880.000 Bs.           Ciudad C: 179.800.000 Bs.</w:t>
      </w:r>
    </w:p>
    <w:p w:rsidR="0052707C" w:rsidRDefault="0052707C" w:rsidP="00816BC6">
      <w:pPr>
        <w:rPr>
          <w:sz w:val="22"/>
        </w:rPr>
      </w:pPr>
    </w:p>
    <w:p w:rsidR="0052707C" w:rsidRDefault="0052707C" w:rsidP="00816BC6">
      <w:pPr>
        <w:rPr>
          <w:sz w:val="22"/>
        </w:rPr>
      </w:pPr>
      <w:r>
        <w:rPr>
          <w:sz w:val="22"/>
        </w:rPr>
        <w:t>C.T. (Ciudad A)= 60.561.000 Bs.+8.550,50 Bs/unidad x 2.000 unidades</w:t>
      </w:r>
    </w:p>
    <w:p w:rsidR="0052707C" w:rsidRDefault="0052707C" w:rsidP="00816BC6">
      <w:pPr>
        <w:rPr>
          <w:sz w:val="22"/>
        </w:rPr>
      </w:pPr>
      <w:r>
        <w:rPr>
          <w:sz w:val="22"/>
        </w:rPr>
        <w:t>C.T. (Ciudad A)= 60.561.000 Bs.+17.101.000 Bs.</w:t>
      </w:r>
    </w:p>
    <w:p w:rsidR="0052707C" w:rsidRDefault="0052707C" w:rsidP="00816BC6">
      <w:pPr>
        <w:rPr>
          <w:sz w:val="22"/>
        </w:rPr>
      </w:pPr>
      <w:r>
        <w:rPr>
          <w:sz w:val="22"/>
        </w:rPr>
        <w:t>C.T. (Ciudad A)= 77.662.000 Bs.</w:t>
      </w:r>
    </w:p>
    <w:p w:rsidR="0052707C" w:rsidRDefault="0052707C" w:rsidP="00816BC6">
      <w:pPr>
        <w:rPr>
          <w:sz w:val="22"/>
        </w:rPr>
      </w:pPr>
    </w:p>
    <w:p w:rsidR="0052707C" w:rsidRDefault="0052707C" w:rsidP="00816BC6">
      <w:pPr>
        <w:rPr>
          <w:sz w:val="22"/>
        </w:rPr>
      </w:pPr>
      <w:r>
        <w:rPr>
          <w:sz w:val="22"/>
        </w:rPr>
        <w:t>C.T</w:t>
      </w:r>
      <w:proofErr w:type="gramStart"/>
      <w:r>
        <w:rPr>
          <w:sz w:val="22"/>
        </w:rPr>
        <w:t>.(</w:t>
      </w:r>
      <w:proofErr w:type="gramEnd"/>
      <w:r>
        <w:rPr>
          <w:sz w:val="22"/>
        </w:rPr>
        <w:t>Ciudad B)= 61.215.000 Bs.+10.476,49 Bs./unidad x 2.000 unidades</w:t>
      </w:r>
    </w:p>
    <w:p w:rsidR="0052707C" w:rsidRDefault="0052707C" w:rsidP="00816BC6">
      <w:pPr>
        <w:rPr>
          <w:sz w:val="22"/>
        </w:rPr>
      </w:pPr>
      <w:r>
        <w:rPr>
          <w:sz w:val="22"/>
        </w:rPr>
        <w:t>C.T</w:t>
      </w:r>
      <w:proofErr w:type="gramStart"/>
      <w:r>
        <w:rPr>
          <w:sz w:val="22"/>
        </w:rPr>
        <w:t>.(</w:t>
      </w:r>
      <w:proofErr w:type="gramEnd"/>
      <w:r>
        <w:rPr>
          <w:sz w:val="22"/>
        </w:rPr>
        <w:t>Ciudad B)= 61.215.000 Bs.+20.952.980 Bs.</w:t>
      </w:r>
    </w:p>
    <w:p w:rsidR="0052707C" w:rsidRDefault="0052707C" w:rsidP="00816BC6">
      <w:pPr>
        <w:rPr>
          <w:sz w:val="22"/>
        </w:rPr>
      </w:pPr>
      <w:r>
        <w:rPr>
          <w:sz w:val="22"/>
        </w:rPr>
        <w:t>C.T (Ciudad B)= 82.167.980 Bs.</w:t>
      </w:r>
    </w:p>
    <w:p w:rsidR="0052707C" w:rsidRDefault="0052707C" w:rsidP="00816BC6">
      <w:pPr>
        <w:rPr>
          <w:sz w:val="22"/>
        </w:rPr>
      </w:pPr>
    </w:p>
    <w:p w:rsidR="0052707C" w:rsidRDefault="0052707C" w:rsidP="00816BC6">
      <w:pPr>
        <w:rPr>
          <w:sz w:val="22"/>
        </w:rPr>
      </w:pPr>
      <w:r>
        <w:rPr>
          <w:sz w:val="22"/>
        </w:rPr>
        <w:t>C.T</w:t>
      </w:r>
      <w:proofErr w:type="gramStart"/>
      <w:r>
        <w:rPr>
          <w:sz w:val="22"/>
        </w:rPr>
        <w:t>.(</w:t>
      </w:r>
      <w:proofErr w:type="gramEnd"/>
      <w:r>
        <w:rPr>
          <w:sz w:val="22"/>
        </w:rPr>
        <w:t>Ciudad C)= 60.607.000 Bs.+8520.45 Bs./unidad x 2.000 unidades</w:t>
      </w:r>
    </w:p>
    <w:p w:rsidR="0052707C" w:rsidRDefault="0052707C" w:rsidP="00816BC6">
      <w:pPr>
        <w:rPr>
          <w:sz w:val="22"/>
        </w:rPr>
      </w:pPr>
      <w:r>
        <w:rPr>
          <w:sz w:val="22"/>
        </w:rPr>
        <w:t>C.T</w:t>
      </w:r>
      <w:proofErr w:type="gramStart"/>
      <w:r>
        <w:rPr>
          <w:sz w:val="22"/>
        </w:rPr>
        <w:t>.(</w:t>
      </w:r>
      <w:proofErr w:type="gramEnd"/>
      <w:r>
        <w:rPr>
          <w:sz w:val="22"/>
        </w:rPr>
        <w:t>Ciudad C)= 60.607.000 Bs.+17.040.900 Bs.</w:t>
      </w:r>
    </w:p>
    <w:p w:rsidR="0052707C" w:rsidRDefault="0052707C" w:rsidP="00816BC6">
      <w:pPr>
        <w:rPr>
          <w:sz w:val="22"/>
        </w:rPr>
      </w:pPr>
      <w:r>
        <w:rPr>
          <w:sz w:val="22"/>
        </w:rPr>
        <w:t>C.T</w:t>
      </w:r>
      <w:proofErr w:type="gramStart"/>
      <w:r>
        <w:rPr>
          <w:sz w:val="22"/>
        </w:rPr>
        <w:t>.(</w:t>
      </w:r>
      <w:proofErr w:type="gramEnd"/>
      <w:r>
        <w:rPr>
          <w:sz w:val="22"/>
        </w:rPr>
        <w:t>Ciudad C)= 77.647.900 Bs.</w:t>
      </w:r>
    </w:p>
    <w:p w:rsidR="0052707C" w:rsidRDefault="0052707C" w:rsidP="0052707C">
      <w:pPr>
        <w:rPr>
          <w:sz w:val="22"/>
        </w:rPr>
      </w:pPr>
    </w:p>
    <w:p w:rsidR="0052707C" w:rsidRDefault="0052707C" w:rsidP="0052707C">
      <w:pPr>
        <w:rPr>
          <w:sz w:val="22"/>
        </w:rPr>
      </w:pPr>
    </w:p>
    <w:tbl>
      <w:tblPr>
        <w:tblW w:w="0" w:type="auto"/>
        <w:tblInd w:w="1142" w:type="dxa"/>
        <w:tblLayout w:type="fixed"/>
        <w:tblCellMar>
          <w:left w:w="0" w:type="dxa"/>
          <w:right w:w="0" w:type="dxa"/>
        </w:tblCellMar>
        <w:tblLook w:val="0000" w:firstRow="0" w:lastRow="0" w:firstColumn="0" w:lastColumn="0" w:noHBand="0" w:noVBand="0"/>
      </w:tblPr>
      <w:tblGrid>
        <w:gridCol w:w="2835"/>
        <w:gridCol w:w="1134"/>
        <w:gridCol w:w="1134"/>
        <w:gridCol w:w="1134"/>
      </w:tblGrid>
      <w:tr w:rsidR="0052707C" w:rsidTr="0052707C">
        <w:tblPrEx>
          <w:tblCellMar>
            <w:top w:w="0" w:type="dxa"/>
            <w:left w:w="0" w:type="dxa"/>
            <w:bottom w:w="0" w:type="dxa"/>
            <w:right w:w="0" w:type="dxa"/>
          </w:tblCellMar>
        </w:tblPrEx>
        <w:tc>
          <w:tcPr>
            <w:tcW w:w="2835" w:type="dxa"/>
          </w:tcPr>
          <w:p w:rsidR="0052707C" w:rsidRDefault="0052707C" w:rsidP="0052707C">
            <w:pPr>
              <w:rPr>
                <w:sz w:val="22"/>
              </w:rPr>
            </w:pPr>
          </w:p>
        </w:tc>
        <w:tc>
          <w:tcPr>
            <w:tcW w:w="1134" w:type="dxa"/>
            <w:tcBorders>
              <w:top w:val="single" w:sz="6" w:space="0" w:color="auto"/>
              <w:left w:val="single" w:sz="6" w:space="0" w:color="auto"/>
              <w:right w:val="single" w:sz="6" w:space="0" w:color="auto"/>
            </w:tcBorders>
          </w:tcPr>
          <w:p w:rsidR="0052707C" w:rsidRDefault="0052707C" w:rsidP="0052707C">
            <w:pPr>
              <w:jc w:val="center"/>
              <w:rPr>
                <w:sz w:val="22"/>
              </w:rPr>
            </w:pPr>
            <w:r>
              <w:rPr>
                <w:sz w:val="22"/>
              </w:rPr>
              <w:t>Ciudad A</w:t>
            </w:r>
          </w:p>
        </w:tc>
        <w:tc>
          <w:tcPr>
            <w:tcW w:w="1134" w:type="dxa"/>
            <w:tcBorders>
              <w:top w:val="single" w:sz="6" w:space="0" w:color="auto"/>
              <w:left w:val="nil"/>
              <w:right w:val="single" w:sz="6" w:space="0" w:color="auto"/>
            </w:tcBorders>
          </w:tcPr>
          <w:p w:rsidR="0052707C" w:rsidRDefault="0052707C" w:rsidP="0052707C">
            <w:pPr>
              <w:pBdr>
                <w:right w:val="single" w:sz="6" w:space="1" w:color="auto"/>
              </w:pBdr>
              <w:jc w:val="center"/>
              <w:rPr>
                <w:sz w:val="22"/>
              </w:rPr>
            </w:pPr>
            <w:r>
              <w:rPr>
                <w:sz w:val="22"/>
              </w:rPr>
              <w:t>Cuidad B</w:t>
            </w:r>
          </w:p>
        </w:tc>
        <w:tc>
          <w:tcPr>
            <w:tcW w:w="1134" w:type="dxa"/>
            <w:tcBorders>
              <w:top w:val="single" w:sz="6" w:space="0" w:color="auto"/>
              <w:left w:val="single" w:sz="6" w:space="0" w:color="auto"/>
              <w:right w:val="single" w:sz="6" w:space="0" w:color="auto"/>
            </w:tcBorders>
          </w:tcPr>
          <w:p w:rsidR="0052707C" w:rsidRDefault="0052707C" w:rsidP="0052707C">
            <w:pPr>
              <w:jc w:val="center"/>
              <w:rPr>
                <w:sz w:val="22"/>
              </w:rPr>
            </w:pPr>
            <w:r>
              <w:rPr>
                <w:sz w:val="22"/>
              </w:rPr>
              <w:t>Ciudad C</w:t>
            </w:r>
          </w:p>
        </w:tc>
      </w:tr>
      <w:tr w:rsidR="0052707C" w:rsidTr="0052707C">
        <w:tblPrEx>
          <w:tblCellMar>
            <w:top w:w="0" w:type="dxa"/>
            <w:left w:w="0" w:type="dxa"/>
            <w:bottom w:w="0" w:type="dxa"/>
            <w:right w:w="0" w:type="dxa"/>
          </w:tblCellMar>
        </w:tblPrEx>
        <w:tc>
          <w:tcPr>
            <w:tcW w:w="2835" w:type="dxa"/>
            <w:tcBorders>
              <w:top w:val="single" w:sz="6" w:space="0" w:color="auto"/>
              <w:left w:val="single" w:sz="6" w:space="0" w:color="auto"/>
            </w:tcBorders>
          </w:tcPr>
          <w:p w:rsidR="0052707C" w:rsidRDefault="0052707C" w:rsidP="0052707C">
            <w:pPr>
              <w:rPr>
                <w:sz w:val="22"/>
              </w:rPr>
            </w:pPr>
            <w:r>
              <w:rPr>
                <w:sz w:val="22"/>
              </w:rPr>
              <w:t>Costos de inversión</w:t>
            </w:r>
          </w:p>
        </w:tc>
        <w:tc>
          <w:tcPr>
            <w:tcW w:w="1134" w:type="dxa"/>
            <w:tcBorders>
              <w:top w:val="single" w:sz="6" w:space="0" w:color="auto"/>
              <w:left w:val="single" w:sz="6" w:space="0" w:color="auto"/>
              <w:right w:val="single" w:sz="6" w:space="0" w:color="auto"/>
            </w:tcBorders>
          </w:tcPr>
          <w:p w:rsidR="0052707C" w:rsidRDefault="0052707C" w:rsidP="0052707C">
            <w:pPr>
              <w:jc w:val="right"/>
              <w:rPr>
                <w:sz w:val="22"/>
              </w:rPr>
            </w:pPr>
            <w:r>
              <w:rPr>
                <w:sz w:val="22"/>
              </w:rPr>
              <w:t>165.350.000</w:t>
            </w:r>
          </w:p>
        </w:tc>
        <w:tc>
          <w:tcPr>
            <w:tcW w:w="1134" w:type="dxa"/>
            <w:tcBorders>
              <w:top w:val="single" w:sz="6" w:space="0" w:color="auto"/>
              <w:left w:val="nil"/>
            </w:tcBorders>
          </w:tcPr>
          <w:p w:rsidR="0052707C" w:rsidRDefault="0052707C" w:rsidP="0052707C">
            <w:pPr>
              <w:jc w:val="right"/>
              <w:rPr>
                <w:sz w:val="22"/>
              </w:rPr>
            </w:pPr>
            <w:r>
              <w:rPr>
                <w:sz w:val="22"/>
              </w:rPr>
              <w:t>181.880.000</w:t>
            </w:r>
          </w:p>
        </w:tc>
        <w:tc>
          <w:tcPr>
            <w:tcW w:w="1134" w:type="dxa"/>
            <w:tcBorders>
              <w:top w:val="single" w:sz="6" w:space="0" w:color="auto"/>
              <w:left w:val="single" w:sz="6" w:space="0" w:color="auto"/>
              <w:right w:val="single" w:sz="6" w:space="0" w:color="auto"/>
            </w:tcBorders>
          </w:tcPr>
          <w:p w:rsidR="0052707C" w:rsidRDefault="0052707C" w:rsidP="0052707C">
            <w:pPr>
              <w:jc w:val="right"/>
              <w:rPr>
                <w:sz w:val="22"/>
              </w:rPr>
            </w:pPr>
            <w:r>
              <w:rPr>
                <w:sz w:val="22"/>
              </w:rPr>
              <w:t>179.800.000</w:t>
            </w:r>
          </w:p>
        </w:tc>
      </w:tr>
      <w:tr w:rsidR="0052707C" w:rsidTr="0052707C">
        <w:tblPrEx>
          <w:tblCellMar>
            <w:top w:w="0" w:type="dxa"/>
            <w:left w:w="0" w:type="dxa"/>
            <w:bottom w:w="0" w:type="dxa"/>
            <w:right w:w="0" w:type="dxa"/>
          </w:tblCellMar>
        </w:tblPrEx>
        <w:tc>
          <w:tcPr>
            <w:tcW w:w="2835" w:type="dxa"/>
            <w:tcBorders>
              <w:left w:val="single" w:sz="6" w:space="0" w:color="auto"/>
            </w:tcBorders>
          </w:tcPr>
          <w:p w:rsidR="0052707C" w:rsidRDefault="0052707C" w:rsidP="0052707C">
            <w:pPr>
              <w:rPr>
                <w:sz w:val="22"/>
              </w:rPr>
            </w:pPr>
            <w:r>
              <w:rPr>
                <w:sz w:val="22"/>
              </w:rPr>
              <w:t>Costos de operación</w:t>
            </w:r>
          </w:p>
        </w:tc>
        <w:tc>
          <w:tcPr>
            <w:tcW w:w="1134" w:type="dxa"/>
            <w:tcBorders>
              <w:left w:val="single" w:sz="6" w:space="0" w:color="auto"/>
              <w:right w:val="single" w:sz="6" w:space="0" w:color="auto"/>
            </w:tcBorders>
          </w:tcPr>
          <w:p w:rsidR="0052707C" w:rsidRDefault="0052707C" w:rsidP="0052707C">
            <w:pPr>
              <w:jc w:val="right"/>
              <w:rPr>
                <w:sz w:val="22"/>
              </w:rPr>
            </w:pPr>
            <w:r>
              <w:rPr>
                <w:sz w:val="22"/>
              </w:rPr>
              <w:t>77.662.000</w:t>
            </w:r>
          </w:p>
        </w:tc>
        <w:tc>
          <w:tcPr>
            <w:tcW w:w="1134" w:type="dxa"/>
            <w:tcBorders>
              <w:left w:val="nil"/>
            </w:tcBorders>
          </w:tcPr>
          <w:p w:rsidR="0052707C" w:rsidRDefault="0052707C" w:rsidP="0052707C">
            <w:pPr>
              <w:jc w:val="right"/>
              <w:rPr>
                <w:sz w:val="22"/>
              </w:rPr>
            </w:pPr>
            <w:r>
              <w:rPr>
                <w:sz w:val="22"/>
              </w:rPr>
              <w:t>82.167.980</w:t>
            </w:r>
          </w:p>
        </w:tc>
        <w:tc>
          <w:tcPr>
            <w:tcW w:w="1134" w:type="dxa"/>
            <w:tcBorders>
              <w:left w:val="single" w:sz="6" w:space="0" w:color="auto"/>
              <w:right w:val="single" w:sz="6" w:space="0" w:color="auto"/>
            </w:tcBorders>
          </w:tcPr>
          <w:p w:rsidR="0052707C" w:rsidRDefault="0052707C" w:rsidP="0052707C">
            <w:pPr>
              <w:jc w:val="right"/>
              <w:rPr>
                <w:sz w:val="22"/>
              </w:rPr>
            </w:pPr>
            <w:r>
              <w:rPr>
                <w:sz w:val="22"/>
              </w:rPr>
              <w:t>77.647.900</w:t>
            </w:r>
          </w:p>
        </w:tc>
      </w:tr>
      <w:tr w:rsidR="0052707C" w:rsidTr="0052707C">
        <w:tblPrEx>
          <w:tblCellMar>
            <w:top w:w="0" w:type="dxa"/>
            <w:left w:w="0" w:type="dxa"/>
            <w:bottom w:w="0" w:type="dxa"/>
            <w:right w:w="0" w:type="dxa"/>
          </w:tblCellMar>
        </w:tblPrEx>
        <w:tc>
          <w:tcPr>
            <w:tcW w:w="2835" w:type="dxa"/>
            <w:tcBorders>
              <w:top w:val="single" w:sz="6" w:space="0" w:color="auto"/>
              <w:left w:val="single" w:sz="6" w:space="0" w:color="auto"/>
              <w:bottom w:val="single" w:sz="6" w:space="0" w:color="auto"/>
            </w:tcBorders>
          </w:tcPr>
          <w:p w:rsidR="0052707C" w:rsidRDefault="0052707C" w:rsidP="0052707C">
            <w:pPr>
              <w:rPr>
                <w:sz w:val="22"/>
              </w:rPr>
            </w:pPr>
            <w:r>
              <w:rPr>
                <w:sz w:val="22"/>
              </w:rPr>
              <w:t>Costos globales</w:t>
            </w:r>
          </w:p>
        </w:tc>
        <w:tc>
          <w:tcPr>
            <w:tcW w:w="1134" w:type="dxa"/>
            <w:tcBorders>
              <w:top w:val="single" w:sz="6" w:space="0" w:color="auto"/>
              <w:left w:val="single" w:sz="6" w:space="0" w:color="auto"/>
              <w:bottom w:val="single" w:sz="6" w:space="0" w:color="auto"/>
              <w:right w:val="single" w:sz="6" w:space="0" w:color="auto"/>
            </w:tcBorders>
          </w:tcPr>
          <w:p w:rsidR="0052707C" w:rsidRDefault="0052707C" w:rsidP="0052707C">
            <w:pPr>
              <w:jc w:val="center"/>
              <w:rPr>
                <w:sz w:val="22"/>
              </w:rPr>
            </w:pPr>
            <w:r>
              <w:rPr>
                <w:sz w:val="22"/>
              </w:rPr>
              <w:t>243.012.000</w:t>
            </w:r>
          </w:p>
        </w:tc>
        <w:tc>
          <w:tcPr>
            <w:tcW w:w="1134" w:type="dxa"/>
            <w:tcBorders>
              <w:top w:val="single" w:sz="6" w:space="0" w:color="auto"/>
              <w:left w:val="nil"/>
              <w:bottom w:val="single" w:sz="6" w:space="0" w:color="auto"/>
            </w:tcBorders>
          </w:tcPr>
          <w:p w:rsidR="0052707C" w:rsidRDefault="0052707C" w:rsidP="0052707C">
            <w:pPr>
              <w:jc w:val="center"/>
              <w:rPr>
                <w:sz w:val="22"/>
              </w:rPr>
            </w:pPr>
            <w:r>
              <w:rPr>
                <w:sz w:val="22"/>
              </w:rPr>
              <w:t>264.047.980</w:t>
            </w:r>
          </w:p>
        </w:tc>
        <w:tc>
          <w:tcPr>
            <w:tcW w:w="1134" w:type="dxa"/>
            <w:tcBorders>
              <w:top w:val="single" w:sz="6" w:space="0" w:color="auto"/>
              <w:left w:val="single" w:sz="6" w:space="0" w:color="auto"/>
              <w:bottom w:val="single" w:sz="6" w:space="0" w:color="auto"/>
              <w:right w:val="single" w:sz="6" w:space="0" w:color="auto"/>
            </w:tcBorders>
          </w:tcPr>
          <w:p w:rsidR="0052707C" w:rsidRDefault="0052707C" w:rsidP="0052707C">
            <w:pPr>
              <w:jc w:val="center"/>
              <w:rPr>
                <w:sz w:val="22"/>
              </w:rPr>
            </w:pPr>
            <w:r>
              <w:rPr>
                <w:sz w:val="22"/>
              </w:rPr>
              <w:t>257.447.900</w:t>
            </w:r>
          </w:p>
        </w:tc>
      </w:tr>
    </w:tbl>
    <w:p w:rsidR="0052707C" w:rsidRDefault="0052707C" w:rsidP="0052707C">
      <w:pPr>
        <w:rPr>
          <w:sz w:val="22"/>
        </w:rPr>
      </w:pPr>
    </w:p>
    <w:p w:rsidR="0052707C" w:rsidRDefault="0052707C" w:rsidP="0052707C">
      <w:pPr>
        <w:spacing w:line="480" w:lineRule="auto"/>
        <w:jc w:val="both"/>
        <w:rPr>
          <w:i/>
          <w:sz w:val="22"/>
        </w:rPr>
      </w:pPr>
    </w:p>
    <w:p w:rsidR="0052707C" w:rsidRDefault="0052707C" w:rsidP="00816BC6">
      <w:pPr>
        <w:jc w:val="both"/>
        <w:rPr>
          <w:sz w:val="22"/>
        </w:rPr>
      </w:pPr>
      <w:r>
        <w:rPr>
          <w:i/>
          <w:sz w:val="22"/>
        </w:rPr>
        <w:t>Conclusión.</w:t>
      </w:r>
      <w:r>
        <w:rPr>
          <w:sz w:val="22"/>
        </w:rPr>
        <w:t xml:space="preserve"> A primera vista la empresa transnacional decidirá ubicarse en la ciudad A, pero hay que tener cuidado ya que los costos de operación son menores en la ciudad C y esto podría influir </w:t>
      </w:r>
    </w:p>
    <w:p w:rsidR="00DE5385" w:rsidRDefault="0052707C" w:rsidP="00DE5385">
      <w:pPr>
        <w:jc w:val="both"/>
        <w:rPr>
          <w:sz w:val="22"/>
        </w:rPr>
      </w:pPr>
      <w:proofErr w:type="gramStart"/>
      <w:r>
        <w:rPr>
          <w:sz w:val="22"/>
        </w:rPr>
        <w:t>en</w:t>
      </w:r>
      <w:proofErr w:type="gramEnd"/>
      <w:r>
        <w:rPr>
          <w:sz w:val="22"/>
        </w:rPr>
        <w:t xml:space="preserve"> la decisión definitiva porque cada año se incurrirían en menores costos y por lo tanto la inversión se recuperaría más rápido dependiendo d</w:t>
      </w:r>
      <w:r w:rsidR="00DE5385">
        <w:rPr>
          <w:sz w:val="22"/>
        </w:rPr>
        <w:t>e la vida útil de la planta.</w:t>
      </w:r>
    </w:p>
    <w:p w:rsidR="00DE5385" w:rsidRDefault="00DE5385" w:rsidP="00DE5385">
      <w:pPr>
        <w:jc w:val="both"/>
        <w:rPr>
          <w:sz w:val="22"/>
        </w:rPr>
      </w:pPr>
    </w:p>
    <w:p w:rsidR="00DE5385" w:rsidRDefault="00DE5385" w:rsidP="00DE5385">
      <w:pPr>
        <w:jc w:val="both"/>
        <w:rPr>
          <w:sz w:val="22"/>
        </w:rPr>
      </w:pPr>
      <w:r>
        <w:rPr>
          <w:sz w:val="22"/>
        </w:rPr>
        <w:t>Ahora suponga que desea evaluar las tres posibles ubicaciones desde el punto de vista de la factibilidad financiera. La vida útil sería de diez años con precio de venta por unidad de Bs. 80.000 y una TREMA del 35%.</w:t>
      </w:r>
    </w:p>
    <w:p w:rsidR="00DE5385" w:rsidRDefault="00DE5385" w:rsidP="00816BC6">
      <w:pPr>
        <w:jc w:val="both"/>
        <w:rPr>
          <w:sz w:val="22"/>
        </w:rPr>
      </w:pPr>
    </w:p>
    <w:p w:rsidR="00DE5385" w:rsidRDefault="00DE5385" w:rsidP="00816BC6">
      <w:pPr>
        <w:jc w:val="both"/>
        <w:rPr>
          <w:sz w:val="22"/>
        </w:rPr>
      </w:pPr>
    </w:p>
    <w:p w:rsidR="00CD37BD" w:rsidRDefault="0052707C" w:rsidP="00816BC6">
      <w:pPr>
        <w:jc w:val="both"/>
        <w:rPr>
          <w:sz w:val="22"/>
        </w:rPr>
      </w:pPr>
      <w:r w:rsidRPr="00DE5385">
        <w:rPr>
          <w:b/>
          <w:color w:val="00B050"/>
          <w:sz w:val="22"/>
        </w:rPr>
        <w:t>Problema 2.</w:t>
      </w:r>
      <w:r w:rsidRPr="00DE5385">
        <w:rPr>
          <w:color w:val="00B050"/>
          <w:sz w:val="22"/>
        </w:rPr>
        <w:t xml:space="preserve"> </w:t>
      </w:r>
      <w:r>
        <w:rPr>
          <w:sz w:val="22"/>
        </w:rPr>
        <w:t xml:space="preserve">Una empresa está considerando elaborar un nuevo producto que habría de venderse a </w:t>
      </w:r>
      <w:proofErr w:type="spellStart"/>
      <w:r>
        <w:rPr>
          <w:sz w:val="22"/>
        </w:rPr>
        <w:t>BsF</w:t>
      </w:r>
      <w:proofErr w:type="spellEnd"/>
      <w:r>
        <w:rPr>
          <w:sz w:val="22"/>
        </w:rPr>
        <w:t xml:space="preserve"> 8 por unidad y tendría costos variables de </w:t>
      </w:r>
      <w:proofErr w:type="spellStart"/>
      <w:r>
        <w:rPr>
          <w:sz w:val="22"/>
        </w:rPr>
        <w:t>BsF</w:t>
      </w:r>
      <w:proofErr w:type="spellEnd"/>
      <w:r>
        <w:rPr>
          <w:sz w:val="22"/>
        </w:rPr>
        <w:t xml:space="preserve"> 5 por unidad y con costos fijos anuales desembolsables de </w:t>
      </w:r>
      <w:proofErr w:type="spellStart"/>
      <w:r>
        <w:rPr>
          <w:sz w:val="22"/>
        </w:rPr>
        <w:t>BsF</w:t>
      </w:r>
      <w:proofErr w:type="spellEnd"/>
      <w:r>
        <w:rPr>
          <w:sz w:val="22"/>
        </w:rPr>
        <w:t xml:space="preserve"> 60.000. Se </w:t>
      </w:r>
      <w:r w:rsidR="00066957">
        <w:rPr>
          <w:sz w:val="22"/>
        </w:rPr>
        <w:t>requeriría</w:t>
      </w:r>
      <w:r>
        <w:rPr>
          <w:sz w:val="22"/>
        </w:rPr>
        <w:t xml:space="preserve"> equipo para elaborar el producto con costo de </w:t>
      </w:r>
      <w:proofErr w:type="spellStart"/>
      <w:r w:rsidR="00816BC6">
        <w:rPr>
          <w:sz w:val="22"/>
        </w:rPr>
        <w:t>BsF</w:t>
      </w:r>
      <w:bookmarkStart w:id="0" w:name="_GoBack"/>
      <w:bookmarkEnd w:id="0"/>
      <w:proofErr w:type="spellEnd"/>
      <w:r w:rsidR="00816BC6">
        <w:rPr>
          <w:sz w:val="22"/>
        </w:rPr>
        <w:t xml:space="preserve"> 210.000 que habría de depreciarse en un plazo de seis años sin valor de salvamento. La empresa está sujeta a una tasa de ISLR del 40% y los inversionistas exigen una TREMA del 14%. Suponga además que el proyecto in</w:t>
      </w:r>
      <w:r w:rsidR="00066957">
        <w:rPr>
          <w:sz w:val="22"/>
        </w:rPr>
        <w:t>volucra un incremento en las cue</w:t>
      </w:r>
      <w:r w:rsidR="00816BC6">
        <w:rPr>
          <w:sz w:val="22"/>
        </w:rPr>
        <w:t xml:space="preserve">ntas por cobrar e inventarios por </w:t>
      </w:r>
      <w:proofErr w:type="spellStart"/>
      <w:r w:rsidR="00816BC6">
        <w:rPr>
          <w:sz w:val="22"/>
        </w:rPr>
        <w:t>BsF</w:t>
      </w:r>
      <w:proofErr w:type="spellEnd"/>
      <w:r w:rsidR="00816BC6">
        <w:rPr>
          <w:sz w:val="22"/>
        </w:rPr>
        <w:t xml:space="preserve"> 40.000, que es una inversión que habría de recuperarse al final de seis años.</w:t>
      </w:r>
    </w:p>
    <w:p w:rsidR="00816BC6" w:rsidRDefault="00816BC6" w:rsidP="00816BC6">
      <w:pPr>
        <w:jc w:val="both"/>
        <w:rPr>
          <w:sz w:val="22"/>
        </w:rPr>
      </w:pPr>
      <w:r>
        <w:rPr>
          <w:sz w:val="22"/>
        </w:rPr>
        <w:t>Se pide:</w:t>
      </w:r>
    </w:p>
    <w:p w:rsidR="00816BC6" w:rsidRDefault="00816BC6" w:rsidP="00816BC6">
      <w:pPr>
        <w:pStyle w:val="Prrafodelista"/>
        <w:numPr>
          <w:ilvl w:val="0"/>
          <w:numId w:val="1"/>
        </w:numPr>
        <w:jc w:val="both"/>
        <w:rPr>
          <w:sz w:val="22"/>
        </w:rPr>
      </w:pPr>
      <w:r>
        <w:rPr>
          <w:sz w:val="22"/>
        </w:rPr>
        <w:t>El periodo de recuperación del proyecto</w:t>
      </w:r>
    </w:p>
    <w:p w:rsidR="00816BC6" w:rsidRDefault="00816BC6" w:rsidP="00816BC6">
      <w:pPr>
        <w:pStyle w:val="Prrafodelista"/>
        <w:numPr>
          <w:ilvl w:val="0"/>
          <w:numId w:val="1"/>
        </w:numPr>
        <w:jc w:val="both"/>
        <w:rPr>
          <w:sz w:val="22"/>
        </w:rPr>
      </w:pPr>
      <w:r>
        <w:rPr>
          <w:sz w:val="22"/>
        </w:rPr>
        <w:t>Determine si el proyecto debe aceptarse considerando el VAN.</w:t>
      </w:r>
    </w:p>
    <w:p w:rsidR="002D0C6B" w:rsidRDefault="00816BC6" w:rsidP="00816BC6">
      <w:pPr>
        <w:pStyle w:val="Prrafodelista"/>
        <w:numPr>
          <w:ilvl w:val="0"/>
          <w:numId w:val="1"/>
        </w:numPr>
        <w:jc w:val="both"/>
      </w:pPr>
      <w:r w:rsidRPr="00816BC6">
        <w:rPr>
          <w:sz w:val="22"/>
        </w:rPr>
        <w:t xml:space="preserve">Determine si el proyecto debe aceptarse considerando </w:t>
      </w:r>
      <w:r w:rsidRPr="00816BC6">
        <w:rPr>
          <w:sz w:val="22"/>
        </w:rPr>
        <w:t>la TIR</w:t>
      </w:r>
    </w:p>
    <w:sectPr w:rsidR="002D0C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654ED"/>
    <w:multiLevelType w:val="hybridMultilevel"/>
    <w:tmpl w:val="465811B4"/>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7BD"/>
    <w:rsid w:val="00066957"/>
    <w:rsid w:val="002D0C6B"/>
    <w:rsid w:val="0052707C"/>
    <w:rsid w:val="00816BC6"/>
    <w:rsid w:val="00CD37BD"/>
    <w:rsid w:val="00DE538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7BD"/>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6B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7BD"/>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6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674</Words>
  <Characters>3712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Francisco</cp:lastModifiedBy>
  <cp:revision>3</cp:revision>
  <dcterms:created xsi:type="dcterms:W3CDTF">2011-10-28T16:10:00Z</dcterms:created>
  <dcterms:modified xsi:type="dcterms:W3CDTF">2011-10-29T11:33:00Z</dcterms:modified>
</cp:coreProperties>
</file>