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0A8" w:rsidRDefault="009D70A8" w:rsidP="009D70A8">
      <w:pPr>
        <w:pStyle w:val="NormalWeb"/>
        <w:shd w:val="clear" w:color="auto" w:fill="FEFEFE"/>
        <w:spacing w:before="0" w:beforeAutospacing="0" w:after="300" w:afterAutospacing="0"/>
        <w:jc w:val="both"/>
        <w:textAlignment w:val="baseline"/>
        <w:rPr>
          <w:rFonts w:ascii="Roboto" w:hAnsi="Roboto"/>
          <w:color w:val="333333"/>
        </w:rPr>
      </w:pPr>
      <w:r>
        <w:rPr>
          <w:rFonts w:ascii="Roboto" w:hAnsi="Roboto"/>
          <w:color w:val="333333"/>
        </w:rPr>
        <w:t>Con el fenómeno de la globalización, el cual trascendió hasta los temas económicos y ha generado una concepción diferente del mundo, surgió la necesidad de unificar criterios en relación con la información financiera de las entidades. Producto de esta labor, durante varias décadas de trabajo y discusión, se emitió en el año 2009 el documento Norma Internacional de Información Financiera para pymes, basado en las Normas Internacionales de Información Financiera –IFRS– por sus siglas en inglés, emitidas por la IASB (antes IASC) desde el año 1975.</w:t>
      </w:r>
    </w:p>
    <w:p w:rsidR="009D70A8" w:rsidRDefault="009D70A8" w:rsidP="009D70A8">
      <w:pPr>
        <w:pStyle w:val="NormalWeb"/>
        <w:shd w:val="clear" w:color="auto" w:fill="FEFEFE"/>
        <w:spacing w:before="0" w:beforeAutospacing="0" w:after="300" w:afterAutospacing="0"/>
        <w:jc w:val="both"/>
        <w:textAlignment w:val="baseline"/>
        <w:rPr>
          <w:rFonts w:ascii="Roboto" w:hAnsi="Roboto"/>
          <w:color w:val="333333"/>
        </w:rPr>
      </w:pPr>
      <w:r>
        <w:rPr>
          <w:rFonts w:ascii="Roboto" w:hAnsi="Roboto"/>
          <w:color w:val="333333"/>
        </w:rPr>
        <w:t>En Colombia, el proceso de convergencia hacia NIIF inició en firme, después de varios intentos, con la expedición de la Ley 1314 del 2009. Una vez expedida esta ley, el Consejo Técnico de la Contaduría Pública –CTCP– emitió el Documento de Direccionamiento Estratégico, en el cual definió tres grupos para la convergencia, teniendo en cuenta, principalmente, el tamaño de las entidades y la cualidad de interés público. Con base en dicho direccionamiento estratégico, el Gobierno colombiano expidió los decretos sobre la materia, entre los cuales se encuentra el Decreto 3022 del 2013, el cual establece que las empresas del Grupo 2 aplicarán la NIIF para pymes expedida por la IASB y refrendada por el Estado colombiano.</w:t>
      </w:r>
    </w:p>
    <w:p w:rsidR="009D70A8" w:rsidRDefault="009D70A8" w:rsidP="009D70A8">
      <w:pPr>
        <w:pStyle w:val="NormalWeb"/>
        <w:shd w:val="clear" w:color="auto" w:fill="FEFEFE"/>
        <w:spacing w:before="0" w:beforeAutospacing="0" w:after="300" w:afterAutospacing="0"/>
        <w:jc w:val="both"/>
        <w:textAlignment w:val="baseline"/>
        <w:rPr>
          <w:rFonts w:ascii="Roboto" w:hAnsi="Roboto"/>
          <w:color w:val="333333"/>
        </w:rPr>
      </w:pPr>
      <w:r>
        <w:rPr>
          <w:rFonts w:ascii="Roboto" w:hAnsi="Roboto"/>
          <w:color w:val="333333"/>
        </w:rPr>
        <w:t>En esta publicación abordamos los fundamentos conceptuales de la NIIF para pymes, explicando de manera clara y concisa cada uno de los conceptos presentados por la IASB en la Sección 2 de la NIIF, con el fin de llevar al lector a conocer y entender cada uno de ellos, así como a comprender la razón de ser que orienta los requerimientos de la NIIF para pymes.</w:t>
      </w:r>
    </w:p>
    <w:p w:rsidR="009D70A8" w:rsidRDefault="009D70A8" w:rsidP="009D70A8">
      <w:pPr>
        <w:pStyle w:val="NormalWeb"/>
        <w:shd w:val="clear" w:color="auto" w:fill="FEFEFE"/>
        <w:spacing w:before="0" w:beforeAutospacing="0" w:after="300" w:afterAutospacing="0"/>
        <w:jc w:val="both"/>
        <w:textAlignment w:val="baseline"/>
        <w:rPr>
          <w:rFonts w:ascii="Roboto" w:hAnsi="Roboto"/>
          <w:color w:val="333333"/>
        </w:rPr>
      </w:pPr>
      <w:r>
        <w:rPr>
          <w:rFonts w:ascii="Roboto" w:hAnsi="Roboto"/>
          <w:color w:val="333333"/>
        </w:rPr>
        <w:t>Incluimos una explicación en lenguaje sencillo de la Sección 35 de la NIIF para pymes, la cual constituye el manual de usuario de la norma, los requerimientos para una adecuada aplicación por primera vez, explicación de cada una de las excepciones y exenciones, alrededor de 130 casos en los cuales se ilustran diferentes situaciones, y finalmente un capítulo completo destinado a presentar mediante un ejercicio diseñado en Excel la teoría llevada a la práctica y adicionalmente videos y documentos complementarios, que se visualizan a través de una zona de descargas.</w:t>
      </w:r>
    </w:p>
    <w:p w:rsidR="009D70A8" w:rsidRDefault="009D70A8" w:rsidP="009D70A8">
      <w:pPr>
        <w:pStyle w:val="NormalWeb"/>
        <w:shd w:val="clear" w:color="auto" w:fill="FEFEFE"/>
        <w:spacing w:before="0" w:beforeAutospacing="0" w:after="300" w:afterAutospacing="0"/>
        <w:jc w:val="both"/>
        <w:textAlignment w:val="baseline"/>
        <w:rPr>
          <w:rFonts w:ascii="Roboto" w:hAnsi="Roboto"/>
          <w:color w:val="333333"/>
        </w:rPr>
      </w:pPr>
      <w:r>
        <w:rPr>
          <w:rFonts w:ascii="Roboto" w:hAnsi="Roboto"/>
          <w:color w:val="333333"/>
        </w:rPr>
        <w:t>Por lo anterior, esta publicación se constituye en el primer documento de consulta para todo aquél que desee comprender el proceso de convergencia a NIIF, y especialmente esperamos una vez más contribuir generando herramientas para facilitar al usuario la comprensión de este y muchos temas más, cumpliendo con nuestro objetivo.</w:t>
      </w:r>
    </w:p>
    <w:p w:rsidR="00ED6C54" w:rsidRDefault="00ED6C54">
      <w:bookmarkStart w:id="0" w:name="_GoBack"/>
      <w:bookmarkEnd w:id="0"/>
    </w:p>
    <w:sectPr w:rsidR="00ED6C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0A8"/>
    <w:rsid w:val="00872F86"/>
    <w:rsid w:val="009D70A8"/>
    <w:rsid w:val="00B07DD4"/>
    <w:rsid w:val="00ED6C5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D70A8"/>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D70A8"/>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99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2144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dc:creator>
  <cp:keywords/>
  <dc:description/>
  <cp:lastModifiedBy>Equipo</cp:lastModifiedBy>
  <cp:revision>1</cp:revision>
  <dcterms:created xsi:type="dcterms:W3CDTF">2015-11-25T14:22:00Z</dcterms:created>
  <dcterms:modified xsi:type="dcterms:W3CDTF">2015-11-25T14:22:00Z</dcterms:modified>
</cp:coreProperties>
</file>